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467A" w14:textId="29286CB6" w:rsidR="00A0186C" w:rsidRPr="00375386" w:rsidRDefault="00FF447F" w:rsidP="00776828">
      <w:pPr>
        <w:pStyle w:val="Nagwek1"/>
        <w:spacing w:before="120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E5811">
        <w:rPr>
          <w:rFonts w:asciiTheme="minorHAnsi" w:hAnsiTheme="minorHAnsi" w:cstheme="minorHAnsi"/>
          <w:sz w:val="20"/>
          <w:szCs w:val="20"/>
        </w:rPr>
        <w:t xml:space="preserve">Press </w:t>
      </w:r>
      <w:proofErr w:type="spellStart"/>
      <w:r w:rsidR="007E5811">
        <w:rPr>
          <w:rFonts w:asciiTheme="minorHAnsi" w:hAnsiTheme="minorHAnsi" w:cstheme="minorHAnsi"/>
          <w:sz w:val="20"/>
          <w:szCs w:val="20"/>
        </w:rPr>
        <w:t>release</w:t>
      </w:r>
      <w:proofErr w:type="spellEnd"/>
    </w:p>
    <w:p w14:paraId="7D7B70B0" w14:textId="7CB20D85" w:rsidR="00A0186C" w:rsidRPr="00375386" w:rsidRDefault="00336495" w:rsidP="00776828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04</w:t>
      </w:r>
      <w:r w:rsidR="001776C6" w:rsidRPr="00375386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11</w:t>
      </w:r>
      <w:r w:rsidR="00A0186C" w:rsidRPr="00375386">
        <w:rPr>
          <w:rFonts w:asciiTheme="minorHAnsi" w:hAnsiTheme="minorHAnsi" w:cstheme="minorHAnsi"/>
          <w:sz w:val="20"/>
          <w:szCs w:val="20"/>
        </w:rPr>
        <w:t>.20</w:t>
      </w:r>
      <w:r w:rsidR="0003379D" w:rsidRPr="00375386">
        <w:rPr>
          <w:rFonts w:asciiTheme="minorHAnsi" w:hAnsiTheme="minorHAnsi" w:cstheme="minorHAnsi"/>
          <w:sz w:val="20"/>
          <w:szCs w:val="20"/>
        </w:rPr>
        <w:t>20</w:t>
      </w:r>
    </w:p>
    <w:p w14:paraId="039EFCE3" w14:textId="77777777" w:rsidR="008A3467" w:rsidRPr="00375386" w:rsidRDefault="008A3467" w:rsidP="00776828">
      <w:pPr>
        <w:rPr>
          <w:rFonts w:asciiTheme="minorHAnsi" w:hAnsiTheme="minorHAnsi" w:cstheme="minorHAnsi"/>
          <w:color w:val="595959"/>
          <w:sz w:val="20"/>
          <w:szCs w:val="20"/>
        </w:rPr>
      </w:pPr>
    </w:p>
    <w:p w14:paraId="05584824" w14:textId="206E7626" w:rsidR="00336495" w:rsidRDefault="007E5811" w:rsidP="00776828">
      <w:pPr>
        <w:rPr>
          <w:rFonts w:asciiTheme="minorHAnsi" w:hAnsiTheme="minorHAnsi" w:cstheme="minorHAnsi"/>
          <w:b/>
          <w:sz w:val="26"/>
          <w:szCs w:val="26"/>
        </w:rPr>
      </w:pPr>
      <w:proofErr w:type="spellStart"/>
      <w:r>
        <w:rPr>
          <w:rFonts w:asciiTheme="minorHAnsi" w:hAnsiTheme="minorHAnsi" w:cstheme="minorHAnsi"/>
          <w:color w:val="595959"/>
          <w:sz w:val="20"/>
          <w:szCs w:val="20"/>
        </w:rPr>
        <w:t>Estimated</w:t>
      </w:r>
      <w:proofErr w:type="spellEnd"/>
      <w:r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595959"/>
          <w:sz w:val="20"/>
          <w:szCs w:val="20"/>
        </w:rPr>
        <w:t>consolidated</w:t>
      </w:r>
      <w:proofErr w:type="spellEnd"/>
      <w:r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595959"/>
          <w:sz w:val="20"/>
          <w:szCs w:val="20"/>
        </w:rPr>
        <w:t>results</w:t>
      </w:r>
      <w:proofErr w:type="spellEnd"/>
      <w:r>
        <w:rPr>
          <w:rFonts w:asciiTheme="minorHAnsi" w:hAnsiTheme="minorHAnsi" w:cstheme="minorHAnsi"/>
          <w:color w:val="595959"/>
          <w:sz w:val="20"/>
          <w:szCs w:val="20"/>
        </w:rPr>
        <w:t xml:space="preserve"> of LUG S.A. Capital </w:t>
      </w:r>
      <w:proofErr w:type="spellStart"/>
      <w:r>
        <w:rPr>
          <w:rFonts w:asciiTheme="minorHAnsi" w:hAnsiTheme="minorHAnsi" w:cstheme="minorHAnsi"/>
          <w:color w:val="595959"/>
          <w:sz w:val="20"/>
          <w:szCs w:val="20"/>
        </w:rPr>
        <w:t>Group</w:t>
      </w:r>
      <w:proofErr w:type="spellEnd"/>
      <w:r>
        <w:rPr>
          <w:rFonts w:asciiTheme="minorHAnsi" w:hAnsiTheme="minorHAnsi" w:cstheme="minorHAnsi"/>
          <w:color w:val="595959"/>
          <w:sz w:val="20"/>
          <w:szCs w:val="20"/>
        </w:rPr>
        <w:t xml:space="preserve"> of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I</w:t>
      </w:r>
      <w:r w:rsidR="001776C6" w:rsidRPr="00375386"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="00336495"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</w:t>
      </w:r>
      <w:proofErr w:type="spellStart"/>
      <w:r>
        <w:rPr>
          <w:rFonts w:asciiTheme="minorHAnsi" w:hAnsiTheme="minorHAnsi" w:cstheme="minorHAnsi"/>
          <w:color w:val="595959"/>
          <w:sz w:val="20"/>
          <w:szCs w:val="20"/>
        </w:rPr>
        <w:t>quarter</w:t>
      </w:r>
      <w:proofErr w:type="spellEnd"/>
      <w:r w:rsidR="008A3467"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20</w:t>
      </w:r>
      <w:r w:rsidR="0003379D" w:rsidRPr="00375386">
        <w:rPr>
          <w:rFonts w:asciiTheme="minorHAnsi" w:hAnsiTheme="minorHAnsi" w:cstheme="minorHAnsi"/>
          <w:color w:val="595959"/>
          <w:sz w:val="20"/>
          <w:szCs w:val="20"/>
        </w:rPr>
        <w:t>20</w:t>
      </w:r>
      <w:r w:rsidR="00AC77CB" w:rsidRPr="00375386">
        <w:rPr>
          <w:rFonts w:asciiTheme="minorHAnsi" w:hAnsiTheme="minorHAnsi" w:cstheme="minorHAnsi"/>
          <w:color w:val="595959"/>
          <w:sz w:val="20"/>
          <w:szCs w:val="20"/>
        </w:rPr>
        <w:t>:</w:t>
      </w:r>
    </w:p>
    <w:p w14:paraId="26D43EFB" w14:textId="5D09EA32" w:rsidR="00CF7071" w:rsidRPr="00343D7F" w:rsidRDefault="007749D8" w:rsidP="0077682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LUG </w:t>
      </w:r>
      <w:proofErr w:type="spellStart"/>
      <w:r w:rsidR="007E5811">
        <w:rPr>
          <w:rFonts w:asciiTheme="minorHAnsi" w:hAnsiTheme="minorHAnsi" w:cstheme="minorHAnsi"/>
          <w:b/>
        </w:rPr>
        <w:t>Group</w:t>
      </w:r>
      <w:proofErr w:type="spellEnd"/>
      <w:r w:rsidR="007E5811">
        <w:rPr>
          <w:rFonts w:asciiTheme="minorHAnsi" w:hAnsiTheme="minorHAnsi" w:cstheme="minorHAnsi"/>
          <w:b/>
        </w:rPr>
        <w:t xml:space="preserve"> </w:t>
      </w:r>
      <w:proofErr w:type="spellStart"/>
      <w:r w:rsidR="007E5811">
        <w:rPr>
          <w:rFonts w:asciiTheme="minorHAnsi" w:hAnsiTheme="minorHAnsi" w:cstheme="minorHAnsi"/>
          <w:b/>
        </w:rPr>
        <w:t>closed</w:t>
      </w:r>
      <w:proofErr w:type="spellEnd"/>
      <w:r w:rsidR="007E5811">
        <w:rPr>
          <w:rFonts w:asciiTheme="minorHAnsi" w:hAnsiTheme="minorHAnsi" w:cstheme="minorHAnsi"/>
          <w:b/>
        </w:rPr>
        <w:t xml:space="preserve"> third </w:t>
      </w:r>
      <w:proofErr w:type="spellStart"/>
      <w:r w:rsidR="007E5811">
        <w:rPr>
          <w:rFonts w:asciiTheme="minorHAnsi" w:hAnsiTheme="minorHAnsi" w:cstheme="minorHAnsi"/>
          <w:b/>
        </w:rPr>
        <w:t>quarter</w:t>
      </w:r>
      <w:proofErr w:type="spellEnd"/>
      <w:r w:rsidR="007E5811">
        <w:rPr>
          <w:rFonts w:asciiTheme="minorHAnsi" w:hAnsiTheme="minorHAnsi" w:cstheme="minorHAnsi"/>
          <w:b/>
        </w:rPr>
        <w:t xml:space="preserve"> with the profit </w:t>
      </w:r>
      <w:proofErr w:type="spellStart"/>
      <w:r w:rsidR="007E5811">
        <w:rPr>
          <w:rFonts w:asciiTheme="minorHAnsi" w:hAnsiTheme="minorHAnsi" w:cstheme="minorHAnsi"/>
          <w:b/>
        </w:rPr>
        <w:t>amounted</w:t>
      </w:r>
      <w:proofErr w:type="spellEnd"/>
      <w:r w:rsidR="007E5811">
        <w:rPr>
          <w:rFonts w:asciiTheme="minorHAnsi" w:hAnsiTheme="minorHAnsi" w:cstheme="minorHAnsi"/>
          <w:b/>
        </w:rPr>
        <w:t xml:space="preserve"> to PLN 1</w:t>
      </w:r>
      <w:r>
        <w:rPr>
          <w:rFonts w:asciiTheme="minorHAnsi" w:hAnsiTheme="minorHAnsi" w:cstheme="minorHAnsi"/>
          <w:b/>
        </w:rPr>
        <w:t>,8 mln.</w:t>
      </w:r>
      <w:r w:rsidR="00343D7F">
        <w:rPr>
          <w:rFonts w:asciiTheme="minorHAnsi" w:hAnsiTheme="minorHAnsi" w:cstheme="minorHAnsi"/>
          <w:b/>
        </w:rPr>
        <w:br/>
      </w:r>
    </w:p>
    <w:p w14:paraId="3780FBF9" w14:textId="6A03A906" w:rsidR="00767BA7" w:rsidRDefault="00F27F35" w:rsidP="00EC23F7">
      <w:pPr>
        <w:pStyle w:val="Akapitzlist"/>
        <w:numPr>
          <w:ilvl w:val="0"/>
          <w:numId w:val="13"/>
        </w:numPr>
        <w:spacing w:after="200"/>
        <w:jc w:val="both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PLN 5</w:t>
      </w:r>
      <w:r w:rsid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4,3 mln (+11,2%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)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of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gross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profit on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sales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after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nine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months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and PLN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16,6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mln 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(+1,7% </w:t>
      </w:r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)</w:t>
      </w:r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 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gross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profit on 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sales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in 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III </w:t>
      </w:r>
      <w:proofErr w:type="spellStart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quarter</w:t>
      </w:r>
      <w:proofErr w:type="spellEnd"/>
      <w:r w:rsidR="00EC23F7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D54DF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20</w:t>
      </w:r>
      <w:r w:rsid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0288DA1F" w14:textId="5AEFD6D1" w:rsidR="007749D8" w:rsidRPr="001E6AC9" w:rsidRDefault="00EC23F7" w:rsidP="00556C77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PLN </w:t>
      </w:r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42,2 mln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of </w:t>
      </w:r>
      <w:proofErr w:type="spellStart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revenues</w:t>
      </w:r>
      <w:proofErr w:type="spellEnd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in</w:t>
      </w:r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III </w:t>
      </w:r>
      <w:proofErr w:type="spellStart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quarter</w:t>
      </w:r>
      <w:proofErr w:type="spellEnd"/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,</w:t>
      </w:r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which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is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an</w:t>
      </w:r>
      <w:proofErr w:type="spellEnd"/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increase</w:t>
      </w:r>
      <w:proofErr w:type="spellEnd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by</w:t>
      </w:r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D54DF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4,0</w:t>
      </w:r>
      <w:r w:rsidR="0057416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% </w:t>
      </w:r>
      <w:proofErr w:type="spellStart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comparing</w:t>
      </w:r>
      <w:proofErr w:type="spellEnd"/>
      <w:r w:rsidR="00F25946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to the same period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last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year</w:t>
      </w:r>
      <w:proofErr w:type="spellEnd"/>
      <w:r w:rsidR="0034683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.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Total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revenues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nine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months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2020 </w:t>
      </w:r>
      <w:proofErr w:type="spellStart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exceeded</w:t>
      </w:r>
      <w:proofErr w:type="spellEnd"/>
      <w:r w:rsidR="00CA2A8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PLN</w:t>
      </w:r>
      <w:r w:rsidR="00346839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749D8" w:rsidRPr="001E6AC9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132,7 mln;</w:t>
      </w:r>
    </w:p>
    <w:p w14:paraId="572479E1" w14:textId="6895460B" w:rsidR="007749D8" w:rsidRDefault="00CA2A88" w:rsidP="00776828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PLN </w:t>
      </w:r>
      <w:r w:rsidR="007749D8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1,8 mln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of net profit in the </w:t>
      </w:r>
      <w:r w:rsidR="007749D8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III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quarter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</w:t>
      </w:r>
      <w:r w:rsidR="007749D8" w:rsidRP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2020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and PLN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6,4 mln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cumulatively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nine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months</w:t>
      </w:r>
      <w:proofErr w:type="spellEnd"/>
      <w:r w:rsidR="00867A7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2020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2D64836F" w14:textId="2BE16DAF" w:rsidR="007749D8" w:rsidRPr="007749D8" w:rsidRDefault="00867A75" w:rsidP="00776828">
      <w:pPr>
        <w:pStyle w:val="Akapitzlist"/>
        <w:numPr>
          <w:ilvl w:val="0"/>
          <w:numId w:val="13"/>
        </w:numPr>
        <w:spacing w:after="200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PLN 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6 mln (+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PLN 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3,5 mln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)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of 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EBITDA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in the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III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quarter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2020 and PLN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14,8 mln 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of the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three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quarters</w:t>
      </w:r>
      <w:proofErr w:type="spellEnd"/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of 2020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(+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PLN </w:t>
      </w:r>
      <w:r w:rsidR="004D54D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8,5 mln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y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/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y</w:t>
      </w:r>
      <w:r w:rsidR="007749D8" w:rsidRPr="00343D7F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)</w:t>
      </w:r>
      <w:r w:rsidR="007749D8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;</w:t>
      </w:r>
    </w:p>
    <w:p w14:paraId="041309E0" w14:textId="7A3FA0F7" w:rsidR="004B74DD" w:rsidRDefault="00867A75" w:rsidP="00776828">
      <w:pPr>
        <w:pStyle w:val="NormalnyWeb"/>
        <w:shd w:val="clear" w:color="auto" w:fill="FFFFFF"/>
        <w:jc w:val="both"/>
        <w:rPr>
          <w:rFonts w:ascii="Calibri" w:hAnsi="Calibri"/>
          <w:b/>
          <w:iCs/>
          <w:sz w:val="20"/>
          <w:szCs w:val="20"/>
        </w:rPr>
      </w:pPr>
      <w:r>
        <w:rPr>
          <w:rFonts w:ascii="Calibri" w:eastAsia="Calibri" w:hAnsi="Calibri"/>
          <w:b/>
          <w:sz w:val="20"/>
          <w:szCs w:val="20"/>
        </w:rPr>
        <w:t xml:space="preserve">The Capital </w:t>
      </w:r>
      <w:proofErr w:type="spellStart"/>
      <w:r>
        <w:rPr>
          <w:rFonts w:ascii="Calibri" w:eastAsia="Calibri" w:hAnsi="Calibri"/>
          <w:b/>
          <w:sz w:val="20"/>
          <w:szCs w:val="20"/>
        </w:rPr>
        <w:t>Group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of </w:t>
      </w:r>
      <w:r w:rsidR="004B74DD" w:rsidRPr="00EF758A">
        <w:rPr>
          <w:rFonts w:ascii="Calibri" w:eastAsia="Calibri" w:hAnsi="Calibri"/>
          <w:b/>
          <w:sz w:val="20"/>
          <w:szCs w:val="20"/>
        </w:rPr>
        <w:t>LUG S.A.</w:t>
      </w:r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published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its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financial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results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</w:t>
      </w:r>
      <w:proofErr w:type="spellStart"/>
      <w:r>
        <w:rPr>
          <w:rFonts w:ascii="Calibri" w:eastAsia="Calibri" w:hAnsi="Calibri"/>
          <w:b/>
          <w:sz w:val="20"/>
          <w:szCs w:val="20"/>
        </w:rPr>
        <w:t>accomplished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in the</w:t>
      </w:r>
      <w:r w:rsidR="004B74DD" w:rsidRPr="00EF758A">
        <w:rPr>
          <w:rFonts w:ascii="Calibri" w:eastAsia="Calibri" w:hAnsi="Calibri"/>
          <w:b/>
          <w:sz w:val="20"/>
          <w:szCs w:val="20"/>
        </w:rPr>
        <w:t xml:space="preserve"> III </w:t>
      </w:r>
      <w:proofErr w:type="spellStart"/>
      <w:r>
        <w:rPr>
          <w:rFonts w:ascii="Calibri" w:eastAsia="Calibri" w:hAnsi="Calibri"/>
          <w:b/>
          <w:sz w:val="20"/>
          <w:szCs w:val="20"/>
        </w:rPr>
        <w:t>quarter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of</w:t>
      </w:r>
      <w:r w:rsidR="004B74DD" w:rsidRPr="00EF758A">
        <w:rPr>
          <w:rFonts w:ascii="Calibri" w:eastAsia="Calibri" w:hAnsi="Calibri"/>
          <w:b/>
          <w:sz w:val="20"/>
          <w:szCs w:val="20"/>
        </w:rPr>
        <w:t xml:space="preserve"> </w:t>
      </w:r>
      <w:r w:rsidR="004B74DD">
        <w:rPr>
          <w:rFonts w:ascii="Calibri" w:eastAsia="Calibri" w:hAnsi="Calibri"/>
          <w:b/>
          <w:sz w:val="20"/>
          <w:szCs w:val="20"/>
        </w:rPr>
        <w:t>2020</w:t>
      </w:r>
      <w:r>
        <w:rPr>
          <w:rFonts w:ascii="Calibri" w:eastAsia="Calibri" w:hAnsi="Calibri"/>
          <w:b/>
          <w:sz w:val="20"/>
          <w:szCs w:val="20"/>
        </w:rPr>
        <w:t xml:space="preserve">. Sales </w:t>
      </w:r>
      <w:proofErr w:type="spellStart"/>
      <w:r>
        <w:rPr>
          <w:rFonts w:ascii="Calibri" w:eastAsia="Calibri" w:hAnsi="Calibri"/>
          <w:b/>
          <w:sz w:val="20"/>
          <w:szCs w:val="20"/>
        </w:rPr>
        <w:t>revenues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/>
          <w:b/>
          <w:sz w:val="20"/>
          <w:szCs w:val="20"/>
        </w:rPr>
        <w:t>analysed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period </w:t>
      </w:r>
      <w:proofErr w:type="spellStart"/>
      <w:r>
        <w:rPr>
          <w:rFonts w:ascii="Calibri" w:eastAsia="Calibri" w:hAnsi="Calibri"/>
          <w:b/>
          <w:sz w:val="20"/>
          <w:szCs w:val="20"/>
        </w:rPr>
        <w:t>reached</w:t>
      </w:r>
      <w:proofErr w:type="spellEnd"/>
      <w:r>
        <w:rPr>
          <w:rFonts w:ascii="Calibri" w:eastAsia="Calibri" w:hAnsi="Calibri"/>
          <w:b/>
          <w:sz w:val="20"/>
          <w:szCs w:val="20"/>
        </w:rPr>
        <w:t xml:space="preserve"> PLN</w:t>
      </w:r>
      <w:r w:rsidR="00346839">
        <w:rPr>
          <w:rFonts w:ascii="Calibri" w:hAnsi="Calibri"/>
          <w:b/>
          <w:iCs/>
          <w:sz w:val="20"/>
          <w:szCs w:val="20"/>
        </w:rPr>
        <w:t xml:space="preserve"> </w:t>
      </w:r>
      <w:r w:rsidR="004B74DD">
        <w:rPr>
          <w:rFonts w:ascii="Calibri" w:hAnsi="Calibri"/>
          <w:b/>
          <w:iCs/>
          <w:sz w:val="20"/>
          <w:szCs w:val="20"/>
        </w:rPr>
        <w:t>42,2</w:t>
      </w:r>
      <w:r w:rsidR="004B74DD" w:rsidRPr="00EF758A">
        <w:rPr>
          <w:rFonts w:ascii="Calibri" w:hAnsi="Calibri"/>
          <w:b/>
          <w:iCs/>
          <w:sz w:val="20"/>
          <w:szCs w:val="20"/>
        </w:rPr>
        <w:t xml:space="preserve"> mln. </w:t>
      </w:r>
      <w:proofErr w:type="spellStart"/>
      <w:r>
        <w:rPr>
          <w:rFonts w:ascii="Calibri" w:hAnsi="Calibri"/>
          <w:b/>
          <w:iCs/>
          <w:sz w:val="20"/>
          <w:szCs w:val="20"/>
        </w:rPr>
        <w:t>It’s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an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increase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by</w:t>
      </w:r>
      <w:r w:rsidR="004B74DD">
        <w:rPr>
          <w:rFonts w:ascii="Calibri" w:hAnsi="Calibri"/>
          <w:b/>
          <w:iCs/>
          <w:sz w:val="20"/>
          <w:szCs w:val="20"/>
        </w:rPr>
        <w:t xml:space="preserve"> </w:t>
      </w:r>
      <w:r w:rsidR="004D54DF">
        <w:rPr>
          <w:rFonts w:ascii="Calibri" w:hAnsi="Calibri"/>
          <w:b/>
          <w:iCs/>
          <w:sz w:val="20"/>
          <w:szCs w:val="20"/>
        </w:rPr>
        <w:t>4,0</w:t>
      </w:r>
      <w:r w:rsidR="004B74DD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percent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comparing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to the same period </w:t>
      </w:r>
      <w:proofErr w:type="spellStart"/>
      <w:r>
        <w:rPr>
          <w:rFonts w:ascii="Calibri" w:hAnsi="Calibri"/>
          <w:b/>
          <w:iCs/>
          <w:sz w:val="20"/>
          <w:szCs w:val="20"/>
        </w:rPr>
        <w:t>last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year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. </w:t>
      </w:r>
      <w:proofErr w:type="spellStart"/>
      <w:r>
        <w:rPr>
          <w:rFonts w:ascii="Calibri" w:hAnsi="Calibri"/>
          <w:b/>
          <w:iCs/>
          <w:sz w:val="20"/>
          <w:szCs w:val="20"/>
        </w:rPr>
        <w:t>After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three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quarters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of 2020 the </w:t>
      </w:r>
      <w:proofErr w:type="spellStart"/>
      <w:r>
        <w:rPr>
          <w:rFonts w:ascii="Calibri" w:hAnsi="Calibri"/>
          <w:b/>
          <w:iCs/>
          <w:sz w:val="20"/>
          <w:szCs w:val="20"/>
        </w:rPr>
        <w:t>gross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profit on </w:t>
      </w:r>
      <w:proofErr w:type="spellStart"/>
      <w:r>
        <w:rPr>
          <w:rFonts w:ascii="Calibri" w:hAnsi="Calibri"/>
          <w:b/>
          <w:iCs/>
          <w:sz w:val="20"/>
          <w:szCs w:val="20"/>
        </w:rPr>
        <w:t>sales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amounted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to PLN</w:t>
      </w:r>
      <w:r w:rsidR="001E6AC9" w:rsidRPr="001E6AC9">
        <w:rPr>
          <w:rFonts w:ascii="Calibri" w:hAnsi="Calibri"/>
          <w:b/>
          <w:iCs/>
          <w:sz w:val="20"/>
          <w:szCs w:val="20"/>
        </w:rPr>
        <w:t xml:space="preserve"> 54,3 mln </w:t>
      </w:r>
      <w:proofErr w:type="spellStart"/>
      <w:r>
        <w:rPr>
          <w:rFonts w:ascii="Calibri" w:hAnsi="Calibri"/>
          <w:b/>
          <w:iCs/>
          <w:sz w:val="20"/>
          <w:szCs w:val="20"/>
        </w:rPr>
        <w:t>improving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by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1E6AC9" w:rsidRPr="001E6AC9">
        <w:rPr>
          <w:rFonts w:ascii="Calibri" w:hAnsi="Calibri"/>
          <w:b/>
          <w:iCs/>
          <w:sz w:val="20"/>
          <w:szCs w:val="20"/>
        </w:rPr>
        <w:t>11,2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proofErr w:type="spellStart"/>
      <w:r>
        <w:rPr>
          <w:rFonts w:ascii="Calibri" w:hAnsi="Calibri"/>
          <w:b/>
          <w:iCs/>
          <w:sz w:val="20"/>
          <w:szCs w:val="20"/>
        </w:rPr>
        <w:t>percent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y/y</w:t>
      </w:r>
      <w:r w:rsidR="001E6AC9">
        <w:rPr>
          <w:rFonts w:ascii="Calibri" w:hAnsi="Calibri"/>
          <w:b/>
          <w:iCs/>
          <w:sz w:val="20"/>
          <w:szCs w:val="20"/>
        </w:rPr>
        <w:t xml:space="preserve">. </w:t>
      </w:r>
      <w:r>
        <w:rPr>
          <w:rFonts w:ascii="Calibri" w:hAnsi="Calibri"/>
          <w:b/>
          <w:iCs/>
          <w:sz w:val="20"/>
          <w:szCs w:val="20"/>
        </w:rPr>
        <w:t xml:space="preserve">The </w:t>
      </w:r>
      <w:proofErr w:type="spellStart"/>
      <w:r>
        <w:rPr>
          <w:rFonts w:ascii="Calibri" w:hAnsi="Calibri"/>
          <w:b/>
          <w:iCs/>
          <w:sz w:val="20"/>
          <w:szCs w:val="20"/>
        </w:rPr>
        <w:t>gross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margin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on </w:t>
      </w:r>
      <w:proofErr w:type="spellStart"/>
      <w:r>
        <w:rPr>
          <w:rFonts w:ascii="Calibri" w:hAnsi="Calibri"/>
          <w:b/>
          <w:iCs/>
          <w:sz w:val="20"/>
          <w:szCs w:val="20"/>
        </w:rPr>
        <w:t>sales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cumulatively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for </w:t>
      </w:r>
      <w:proofErr w:type="spellStart"/>
      <w:r>
        <w:rPr>
          <w:rFonts w:ascii="Calibri" w:hAnsi="Calibri"/>
          <w:b/>
          <w:iCs/>
          <w:sz w:val="20"/>
          <w:szCs w:val="20"/>
        </w:rPr>
        <w:t>nine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months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amounted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to </w:t>
      </w:r>
      <w:r w:rsidR="004B74DD" w:rsidRPr="004B74DD">
        <w:rPr>
          <w:rFonts w:ascii="Calibri" w:hAnsi="Calibri"/>
          <w:b/>
          <w:iCs/>
          <w:sz w:val="20"/>
          <w:szCs w:val="20"/>
        </w:rPr>
        <w:t>40,9</w:t>
      </w:r>
      <w:r w:rsidR="004B74DD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>
        <w:rPr>
          <w:rFonts w:ascii="Calibri" w:hAnsi="Calibri"/>
          <w:b/>
          <w:iCs/>
          <w:sz w:val="20"/>
          <w:szCs w:val="20"/>
        </w:rPr>
        <w:t>percent</w:t>
      </w:r>
      <w:proofErr w:type="spellEnd"/>
      <w:r w:rsidR="004B74DD">
        <w:rPr>
          <w:rFonts w:ascii="Calibri" w:hAnsi="Calibri"/>
          <w:b/>
          <w:iCs/>
          <w:sz w:val="20"/>
          <w:szCs w:val="20"/>
        </w:rPr>
        <w:t xml:space="preserve">. </w:t>
      </w:r>
      <w:r>
        <w:rPr>
          <w:rFonts w:ascii="Calibri" w:hAnsi="Calibri"/>
          <w:b/>
          <w:iCs/>
          <w:sz w:val="20"/>
          <w:szCs w:val="20"/>
        </w:rPr>
        <w:t>In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>
        <w:rPr>
          <w:rFonts w:ascii="Calibri" w:hAnsi="Calibri"/>
          <w:b/>
          <w:iCs/>
          <w:sz w:val="20"/>
          <w:szCs w:val="20"/>
        </w:rPr>
        <w:t>the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>
        <w:rPr>
          <w:rFonts w:ascii="Calibri" w:hAnsi="Calibri"/>
          <w:b/>
          <w:iCs/>
          <w:sz w:val="20"/>
          <w:szCs w:val="20"/>
        </w:rPr>
        <w:t xml:space="preserve">third </w:t>
      </w:r>
      <w:proofErr w:type="spellStart"/>
      <w:r>
        <w:rPr>
          <w:rFonts w:ascii="Calibri" w:hAnsi="Calibri"/>
          <w:b/>
          <w:iCs/>
          <w:sz w:val="20"/>
          <w:szCs w:val="20"/>
        </w:rPr>
        <w:t>quarter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the Company </w:t>
      </w:r>
      <w:proofErr w:type="spellStart"/>
      <w:r>
        <w:rPr>
          <w:rFonts w:ascii="Calibri" w:hAnsi="Calibri"/>
          <w:b/>
          <w:iCs/>
          <w:sz w:val="20"/>
          <w:szCs w:val="20"/>
        </w:rPr>
        <w:t>accomplished</w:t>
      </w:r>
      <w:proofErr w:type="spellEnd"/>
      <w:r>
        <w:rPr>
          <w:rFonts w:ascii="Calibri" w:hAnsi="Calibri"/>
          <w:b/>
          <w:iCs/>
          <w:sz w:val="20"/>
          <w:szCs w:val="20"/>
        </w:rPr>
        <w:t xml:space="preserve"> PLN 1,8 mln of the net profit</w:t>
      </w:r>
      <w:r w:rsidR="001E6AC9">
        <w:rPr>
          <w:rFonts w:ascii="Calibri" w:hAnsi="Calibri"/>
          <w:b/>
          <w:iCs/>
          <w:sz w:val="20"/>
          <w:szCs w:val="20"/>
        </w:rPr>
        <w:t xml:space="preserve">,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which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altogether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resulted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in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4B1D0E">
        <w:rPr>
          <w:rFonts w:ascii="Calibri" w:hAnsi="Calibri"/>
          <w:b/>
          <w:iCs/>
          <w:sz w:val="20"/>
          <w:szCs w:val="20"/>
        </w:rPr>
        <w:t>PLN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4B1D0E">
        <w:rPr>
          <w:rFonts w:ascii="Calibri" w:hAnsi="Calibri"/>
          <w:b/>
          <w:iCs/>
          <w:sz w:val="20"/>
          <w:szCs w:val="20"/>
        </w:rPr>
        <w:t>6,4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4B1D0E">
        <w:rPr>
          <w:rFonts w:ascii="Calibri" w:hAnsi="Calibri"/>
          <w:b/>
          <w:iCs/>
          <w:sz w:val="20"/>
          <w:szCs w:val="20"/>
        </w:rPr>
        <w:t xml:space="preserve">mln of the net profit of the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three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quarters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>.</w:t>
      </w:r>
      <w:r w:rsidR="004B74DD" w:rsidRPr="00EF758A">
        <w:rPr>
          <w:rFonts w:ascii="Calibri" w:hAnsi="Calibri"/>
          <w:b/>
          <w:iCs/>
          <w:sz w:val="20"/>
          <w:szCs w:val="20"/>
        </w:rPr>
        <w:t xml:space="preserve"> EBITDA</w:t>
      </w:r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amounted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to PLN</w:t>
      </w:r>
      <w:r w:rsidR="004B74DD" w:rsidRPr="00EF758A">
        <w:rPr>
          <w:rFonts w:ascii="Calibri" w:hAnsi="Calibri"/>
          <w:b/>
          <w:iCs/>
          <w:sz w:val="20"/>
          <w:szCs w:val="20"/>
        </w:rPr>
        <w:t xml:space="preserve"> </w:t>
      </w:r>
      <w:r w:rsidR="004B74DD">
        <w:rPr>
          <w:rFonts w:ascii="Calibri" w:hAnsi="Calibri"/>
          <w:b/>
          <w:iCs/>
          <w:sz w:val="20"/>
          <w:szCs w:val="20"/>
        </w:rPr>
        <w:t>6</w:t>
      </w:r>
      <w:r w:rsidR="004B74DD" w:rsidRPr="00EF758A">
        <w:rPr>
          <w:rFonts w:ascii="Calibri" w:hAnsi="Calibri"/>
          <w:b/>
          <w:iCs/>
          <w:sz w:val="20"/>
          <w:szCs w:val="20"/>
        </w:rPr>
        <w:t xml:space="preserve"> mln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which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is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a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result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higer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by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4B1D0E">
        <w:rPr>
          <w:rFonts w:ascii="Calibri" w:hAnsi="Calibri"/>
          <w:b/>
          <w:iCs/>
          <w:sz w:val="20"/>
          <w:szCs w:val="20"/>
        </w:rPr>
        <w:t xml:space="preserve">PLN </w:t>
      </w:r>
      <w:r w:rsidR="001E6AC9">
        <w:rPr>
          <w:rFonts w:ascii="Calibri" w:hAnsi="Calibri"/>
          <w:b/>
          <w:iCs/>
          <w:sz w:val="20"/>
          <w:szCs w:val="20"/>
        </w:rPr>
        <w:t>3,5</w:t>
      </w:r>
      <w:r w:rsidR="00CA5EBD">
        <w:rPr>
          <w:rFonts w:ascii="Calibri" w:hAnsi="Calibri"/>
          <w:b/>
          <w:iCs/>
          <w:sz w:val="20"/>
          <w:szCs w:val="20"/>
        </w:rPr>
        <w:t> </w:t>
      </w:r>
      <w:r w:rsidR="001E6AC9">
        <w:rPr>
          <w:rFonts w:ascii="Calibri" w:hAnsi="Calibri"/>
          <w:b/>
          <w:iCs/>
          <w:sz w:val="20"/>
          <w:szCs w:val="20"/>
        </w:rPr>
        <w:t xml:space="preserve">mln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comparing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to the III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quarter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of the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previous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 xml:space="preserve"> </w:t>
      </w:r>
      <w:proofErr w:type="spellStart"/>
      <w:r w:rsidR="004B1D0E">
        <w:rPr>
          <w:rFonts w:ascii="Calibri" w:hAnsi="Calibri"/>
          <w:b/>
          <w:iCs/>
          <w:sz w:val="20"/>
          <w:szCs w:val="20"/>
        </w:rPr>
        <w:t>year</w:t>
      </w:r>
      <w:proofErr w:type="spellEnd"/>
      <w:r w:rsidR="004B1D0E">
        <w:rPr>
          <w:rFonts w:ascii="Calibri" w:hAnsi="Calibri"/>
          <w:b/>
          <w:iCs/>
          <w:sz w:val="20"/>
          <w:szCs w:val="20"/>
        </w:rPr>
        <w:t>.</w:t>
      </w:r>
    </w:p>
    <w:p w14:paraId="696E93F7" w14:textId="3B7E0953" w:rsidR="004B74DD" w:rsidRPr="004B74DD" w:rsidRDefault="004400C5" w:rsidP="00776828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Positive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results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the third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were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affected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 re-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opening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regional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economies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after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spring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lockdown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caused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 COVID-19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pandemic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and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fulfilling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demand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typical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second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half of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the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construction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branch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.</w:t>
      </w:r>
      <w:r w:rsidR="004B74DD" w:rsidRPr="004B74D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</w:p>
    <w:p w14:paraId="522F5068" w14:textId="77777777" w:rsidR="00343D7F" w:rsidRDefault="00343D7F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C2C9246" w14:textId="2C5670B8" w:rsidR="00280B48" w:rsidRPr="007E47EA" w:rsidRDefault="00343D7F" w:rsidP="00776828">
      <w:pPr>
        <w:jc w:val="both"/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-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Despite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unfavorable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economic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and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social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situation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we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completed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third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positive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atmosphere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improving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Group’s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financial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results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not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only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</w:t>
      </w:r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on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but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also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</w:t>
      </w:r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on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</w:t>
      </w:r>
      <w:proofErr w:type="spellStart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="00B436E9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 </w:t>
      </w:r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I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also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positively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assess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condition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of the LUG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Group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in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coming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periods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. It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is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true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that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in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first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three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quarters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of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year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we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recorded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a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large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fluctuation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in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result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between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individual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months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,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which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is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closely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related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to the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unpredictability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of</w:t>
      </w:r>
      <w:r w:rsidR="00CA5EBD">
        <w:rPr>
          <w:rFonts w:ascii="Calibri" w:hAnsi="Calibri" w:cs="AppleSystemUIFontItalic"/>
          <w:i/>
          <w:iCs/>
          <w:sz w:val="20"/>
          <w:szCs w:val="20"/>
        </w:rPr>
        <w:t> </w:t>
      </w:r>
      <w:r w:rsidR="00B436E9">
        <w:rPr>
          <w:rFonts w:ascii="Calibri" w:hAnsi="Calibri" w:cs="AppleSystemUIFontItalic"/>
          <w:i/>
          <w:iCs/>
          <w:sz w:val="20"/>
          <w:szCs w:val="20"/>
        </w:rPr>
        <w:t>the</w:t>
      </w:r>
      <w:r w:rsidR="00CA5EBD">
        <w:rPr>
          <w:rFonts w:ascii="Calibri" w:hAnsi="Calibri" w:cs="AppleSystemUIFontItalic"/>
          <w:i/>
          <w:iCs/>
          <w:sz w:val="20"/>
          <w:szCs w:val="20"/>
        </w:rPr>
        <w:t> 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economic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situation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during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such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a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strong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 xml:space="preserve"> </w:t>
      </w:r>
      <w:proofErr w:type="spellStart"/>
      <w:r w:rsidR="00B436E9">
        <w:rPr>
          <w:rFonts w:ascii="Calibri" w:hAnsi="Calibri" w:cs="AppleSystemUIFontItalic"/>
          <w:i/>
          <w:iCs/>
          <w:sz w:val="20"/>
          <w:szCs w:val="20"/>
        </w:rPr>
        <w:t>pandemic</w:t>
      </w:r>
      <w:proofErr w:type="spellEnd"/>
      <w:r w:rsidR="00B436E9">
        <w:rPr>
          <w:rFonts w:ascii="Calibri" w:hAnsi="Calibri" w:cs="AppleSystemUIFontItalic"/>
          <w:i/>
          <w:iCs/>
          <w:sz w:val="20"/>
          <w:szCs w:val="20"/>
        </w:rPr>
        <w:t>.</w:t>
      </w:r>
      <w:r w:rsidRPr="00776828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However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based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on my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previous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experience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and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current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level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of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orders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, I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am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optimistic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and I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think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that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will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end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last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quarter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of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year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with a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positive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result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. Of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course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,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it</w:t>
      </w:r>
      <w:proofErr w:type="spellEnd"/>
      <w:r w:rsidR="00CA5EBD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 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all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depends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on the development of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epidemiological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threat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and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strategy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of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fighting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the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virus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that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will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be</w:t>
      </w:r>
      <w:r w:rsidR="00CA5EBD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 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adopted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by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global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economies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and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how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construction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industries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in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individual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countries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will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react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 to </w:t>
      </w:r>
      <w:proofErr w:type="spellStart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>restrictions</w:t>
      </w:r>
      <w:proofErr w:type="spellEnd"/>
      <w:r w:rsidR="00B436E9">
        <w:rPr>
          <w:rFonts w:asciiTheme="minorHAnsi" w:eastAsia="Calibri" w:hAnsiTheme="minorHAnsi" w:cstheme="minorHAnsi"/>
          <w:bCs/>
          <w:i/>
          <w:iCs/>
          <w:sz w:val="20"/>
          <w:szCs w:val="20"/>
          <w:lang w:eastAsia="en-US"/>
        </w:rPr>
        <w:t xml:space="preserve">. 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– </w:t>
      </w:r>
      <w:proofErr w:type="spellStart"/>
      <w:r w:rsidR="007E47E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comments</w:t>
      </w:r>
      <w:proofErr w:type="spellEnd"/>
      <w:r w:rsidR="007E47E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Ryszard </w:t>
      </w:r>
      <w:proofErr w:type="spellStart"/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Wtorkowski</w:t>
      </w:r>
      <w:proofErr w:type="spellEnd"/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r w:rsidR="007E47E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the CEO of the Management Board of</w:t>
      </w:r>
      <w:r w:rsidR="00804AAC" w:rsidRPr="00776828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LUG S.A.</w:t>
      </w:r>
    </w:p>
    <w:p w14:paraId="54F4883B" w14:textId="77777777" w:rsidR="00336495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94CFA44" w14:textId="28CA1536" w:rsidR="00DE4E0D" w:rsidRDefault="007E47EA" w:rsidP="00746442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operational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LUG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Group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third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reached</w:t>
      </w:r>
      <w:proofErr w:type="spellEnd"/>
      <w:r w:rsidR="00111D1A"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PLN </w:t>
      </w:r>
      <w:r w:rsidR="00111D1A"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3,6 mln </w:t>
      </w:r>
      <w:proofErr w:type="spellStart"/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comparing</w:t>
      </w:r>
      <w:proofErr w:type="spellEnd"/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PLN</w:t>
      </w:r>
      <w:r w:rsidR="00111D1A" w:rsidRPr="00111D1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0,5 mln </w:t>
      </w:r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a </w:t>
      </w:r>
      <w:proofErr w:type="spellStart"/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="00145783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ago,</w:t>
      </w:r>
    </w:p>
    <w:p w14:paraId="014FE81A" w14:textId="4DC58CCE" w:rsidR="00DE4E0D" w:rsidRDefault="00DE4E0D" w:rsidP="00746442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which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was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mainly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conditional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on the benefit for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protection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jobs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from FGŚP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funds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amount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PLN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7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Cumulatively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from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beginning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2020,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operating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profit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amounted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PLN 7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8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compared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PLN 0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2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corresponding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period of 2019.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dictated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financial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support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received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protection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jobs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with a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total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value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PLN 2</w:t>
      </w:r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6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and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implemented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optimization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measures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2020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taking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into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account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both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improvement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processes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and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rationalization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use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resources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 Operating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margin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 third </w:t>
      </w:r>
      <w:proofErr w:type="spellStart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2020 was 8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5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compared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1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3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the third </w:t>
      </w:r>
      <w:proofErr w:type="spellStart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201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9 and 5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9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9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months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compared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0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2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same period 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of 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2019.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Adjusting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the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operating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margin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received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financial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support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job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protection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its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level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the third </w:t>
      </w:r>
      <w:proofErr w:type="spellStart"/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2020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would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reach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4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5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(+ 3.2pp y/y), w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hile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period from January to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September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2020 3,9 </w:t>
      </w:r>
      <w:proofErr w:type="spellStart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percent</w:t>
      </w:r>
      <w:proofErr w:type="spellEnd"/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(+ 3.7pp y</w:t>
      </w:r>
      <w:r w:rsid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/</w:t>
      </w:r>
      <w:r w:rsidRPr="00DE4E0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y).</w:t>
      </w:r>
    </w:p>
    <w:p w14:paraId="038D7DC4" w14:textId="77777777" w:rsidR="00DE4E0D" w:rsidRDefault="00DE4E0D" w:rsidP="00746442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6009D410" w14:textId="77777777" w:rsidR="00776828" w:rsidRPr="00336495" w:rsidRDefault="00776828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18B0FE95" w14:textId="77777777" w:rsidR="00F40F2A" w:rsidRDefault="00F40F2A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74195D46" w14:textId="22087DAF" w:rsidR="00C0287F" w:rsidRDefault="00F40F2A" w:rsidP="00921072">
      <w:pPr>
        <w:jc w:val="both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lastRenderedPageBreak/>
        <w:t xml:space="preserve">In the third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2020, the LUG Capital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Group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generated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a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consolidated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EBITDA of PLN 6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increasing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PLN 3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5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-on-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. In the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nine-month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period of 2020, the EBITDA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amounted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PLN 14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8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increase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 PLN 8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5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compared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to the data for 2019.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Adjusted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by the benefit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obtained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job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protection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, the EBITDA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would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amount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third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this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year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PLN 4.3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 PLN 1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8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y/y) and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PLN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12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2</w:t>
      </w:r>
      <w:r w:rsidR="00CA5EBD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 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(+ PLN 5</w:t>
      </w:r>
      <w:r w:rsid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,</w:t>
      </w:r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9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million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y/y) for 9 </w:t>
      </w:r>
      <w:proofErr w:type="spellStart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months</w:t>
      </w:r>
      <w:proofErr w:type="spellEnd"/>
      <w:r w:rsidRPr="00F40F2A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2020.</w:t>
      </w:r>
    </w:p>
    <w:p w14:paraId="0C1C431D" w14:textId="77777777" w:rsidR="00BC2308" w:rsidRDefault="00BC2308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3476C9A" w14:textId="45701721" w:rsidR="00336495" w:rsidRPr="00921072" w:rsidRDefault="00921072" w:rsidP="00921072">
      <w:pPr>
        <w:jc w:val="both"/>
        <w:rPr>
          <w:rFonts w:asciiTheme="minorHAnsi" w:eastAsia="Calibri" w:hAnsiTheme="minorHAnsi" w:cstheme="minorHAnsi"/>
          <w:bCs/>
          <w:sz w:val="16"/>
          <w:szCs w:val="16"/>
          <w:lang w:eastAsia="en-US"/>
        </w:rPr>
      </w:pP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 xml:space="preserve">The EBITDA margin in the third quarter of this year 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 xml:space="preserve">amounted 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14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3 percent and 11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2 percent in the period January-September 2020. At the level of the net result, the LUG S.A. Capital Group in the third quarter generated PLN</w:t>
      </w:r>
      <w:r w:rsidR="00CA5EBD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 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1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8</w:t>
      </w:r>
      <w:r w:rsidR="00CA5EBD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 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million (+ PLN 0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65 million y/y) with a net profitability of 4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3 percent (+ 1.4 pp y/y) and PLN 6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42 million (+</w:t>
      </w:r>
      <w:r w:rsidR="00CA5EBD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 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PLN 6 million y/y) with a net profitability of 4</w:t>
      </w:r>
      <w:r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,</w:t>
      </w:r>
      <w:r w:rsidRPr="00921072">
        <w:rPr>
          <w:rStyle w:val="tlid-translation"/>
          <w:rFonts w:asciiTheme="minorHAnsi" w:hAnsiTheme="minorHAnsi" w:cstheme="minorHAnsi"/>
          <w:sz w:val="20"/>
          <w:szCs w:val="20"/>
          <w:lang w:val="en"/>
        </w:rPr>
        <w:t>8 percent (+ 4.5 pp y/y) for the three quarters of 2020.</w:t>
      </w:r>
    </w:p>
    <w:p w14:paraId="561E2B35" w14:textId="77777777" w:rsidR="00336495" w:rsidRPr="00336495" w:rsidRDefault="00336495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5E6C733C" w14:textId="30CEB8C9" w:rsidR="00804AAC" w:rsidRDefault="00921072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The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consolidated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results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for the third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will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be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published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in the </w:t>
      </w: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periodic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report for the third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quarter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of 2020 on </w:t>
      </w:r>
      <w:proofErr w:type="spellStart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November</w:t>
      </w:r>
      <w:proofErr w:type="spellEnd"/>
      <w:r w:rsidRPr="00921072"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 xml:space="preserve"> 10, 2020.</w:t>
      </w:r>
    </w:p>
    <w:p w14:paraId="018D9C9E" w14:textId="77777777" w:rsidR="00804AAC" w:rsidRPr="00336495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30BE0861" w14:textId="77777777" w:rsidR="00804AAC" w:rsidRDefault="00804AAC" w:rsidP="00776828">
      <w:pPr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</w:p>
    <w:p w14:paraId="055446D0" w14:textId="46EBF2E5" w:rsidR="00336495" w:rsidRPr="00336495" w:rsidRDefault="00804AAC" w:rsidP="00CA5EBD">
      <w:pPr>
        <w:ind w:left="-709"/>
        <w:rPr>
          <w:rFonts w:asciiTheme="minorHAnsi" w:eastAsia="Calibri" w:hAnsiTheme="minorHAnsi" w:cstheme="minorHAnsi"/>
          <w:bCs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bCs/>
          <w:sz w:val="20"/>
          <w:szCs w:val="20"/>
          <w:lang w:eastAsia="en-US"/>
        </w:rPr>
        <w:t>T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>ab</w:t>
      </w:r>
      <w:r w:rsidR="00921072">
        <w:rPr>
          <w:rFonts w:asciiTheme="minorHAnsi" w:hAnsiTheme="minorHAnsi" w:cstheme="minorHAnsi"/>
          <w:color w:val="000000"/>
          <w:sz w:val="20"/>
          <w:szCs w:val="20"/>
        </w:rPr>
        <w:t>le</w:t>
      </w:r>
      <w:proofErr w:type="spellEnd"/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 1</w:t>
      </w:r>
      <w:r w:rsidR="00921072">
        <w:rPr>
          <w:rFonts w:asciiTheme="minorHAnsi" w:hAnsiTheme="minorHAnsi" w:cstheme="minorHAnsi"/>
          <w:color w:val="000000"/>
          <w:sz w:val="20"/>
          <w:szCs w:val="20"/>
        </w:rPr>
        <w:t>.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921072">
        <w:rPr>
          <w:rFonts w:asciiTheme="minorHAnsi" w:hAnsiTheme="minorHAnsi" w:cstheme="minorHAnsi"/>
          <w:color w:val="000000"/>
          <w:sz w:val="20"/>
          <w:szCs w:val="20"/>
        </w:rPr>
        <w:t>Estimated</w:t>
      </w:r>
      <w:proofErr w:type="spellEnd"/>
      <w:r w:rsidR="009210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921072">
        <w:rPr>
          <w:rFonts w:asciiTheme="minorHAnsi" w:hAnsiTheme="minorHAnsi" w:cstheme="minorHAnsi"/>
          <w:color w:val="000000"/>
          <w:sz w:val="20"/>
          <w:szCs w:val="20"/>
        </w:rPr>
        <w:t>results</w:t>
      </w:r>
      <w:proofErr w:type="spellEnd"/>
      <w:r w:rsidR="00921072">
        <w:rPr>
          <w:rFonts w:asciiTheme="minorHAnsi" w:hAnsiTheme="minorHAnsi" w:cstheme="minorHAnsi"/>
          <w:color w:val="000000"/>
          <w:sz w:val="20"/>
          <w:szCs w:val="20"/>
        </w:rPr>
        <w:t xml:space="preserve"> of III </w:t>
      </w:r>
      <w:proofErr w:type="spellStart"/>
      <w:r w:rsidR="00921072">
        <w:rPr>
          <w:rFonts w:asciiTheme="minorHAnsi" w:hAnsiTheme="minorHAnsi" w:cstheme="minorHAnsi"/>
          <w:color w:val="000000"/>
          <w:sz w:val="20"/>
          <w:szCs w:val="20"/>
        </w:rPr>
        <w:t>quarter</w:t>
      </w:r>
      <w:proofErr w:type="spellEnd"/>
      <w:r w:rsidR="00921072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80F6C" w:rsidRPr="00CF7071">
        <w:rPr>
          <w:rFonts w:asciiTheme="minorHAnsi" w:hAnsiTheme="minorHAnsi" w:cstheme="minorHAnsi"/>
          <w:color w:val="000000"/>
          <w:sz w:val="20"/>
          <w:szCs w:val="20"/>
        </w:rPr>
        <w:t>2020</w:t>
      </w:r>
    </w:p>
    <w:tbl>
      <w:tblPr>
        <w:tblpPr w:leftFromText="141" w:rightFromText="141" w:vertAnchor="text" w:horzAnchor="margin" w:tblpXSpec="center" w:tblpY="129"/>
        <w:tblW w:w="107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3"/>
        <w:gridCol w:w="1417"/>
        <w:gridCol w:w="1417"/>
        <w:gridCol w:w="1417"/>
        <w:gridCol w:w="1417"/>
        <w:gridCol w:w="1417"/>
        <w:gridCol w:w="1417"/>
      </w:tblGrid>
      <w:tr w:rsidR="00336495" w:rsidRPr="00336495" w14:paraId="1CCAEB11" w14:textId="77777777" w:rsidTr="00804AAC">
        <w:trPr>
          <w:trHeight w:val="52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0D2D42D0" w14:textId="44E5894B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[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housand</w:t>
            </w:r>
            <w:proofErr w:type="spellEnd"/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PLN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, %, 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C68EBF6" w14:textId="1DD4718E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2017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0030F5A7" w14:textId="14DD343C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2018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714CC91D" w14:textId="2B05056D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2019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9CC63FF" w14:textId="7DAD38E0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2020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21250109" w14:textId="20932B9F" w:rsidR="00336495" w:rsidRPr="00336495" w:rsidRDefault="00921072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change</w:t>
            </w:r>
            <w:proofErr w:type="spellEnd"/>
            <w:r w:rsidR="00336495"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III 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="00336495"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 w:rsidR="00336495"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br/>
              <w:t>2020/2019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23A5701E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CAGR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br/>
              <w:t>2017-2020</w:t>
            </w:r>
          </w:p>
        </w:tc>
      </w:tr>
      <w:tr w:rsidR="00921072" w:rsidRPr="00336495" w14:paraId="1968938E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2FA8BF8C" w14:textId="083ACD55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Sales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revenues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7C9259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39 239,30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AB2FEF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42 939,88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FED55E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40 594,00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F04591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42 197,00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4DB1569" w14:textId="68C957D1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4,0</w:t>
            </w: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3D1244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2,5%</w:t>
            </w:r>
          </w:p>
        </w:tc>
      </w:tr>
      <w:tr w:rsidR="00921072" w:rsidRPr="00336495" w14:paraId="051A1EE0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5BF15C11" w14:textId="0E818275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profit on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565DBD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18 210,00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FAF442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20 208,39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1D795B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16 291,00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696803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16 575,00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6C2954D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1E68F75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-3,1%</w:t>
            </w:r>
          </w:p>
        </w:tc>
      </w:tr>
      <w:tr w:rsidR="00921072" w:rsidRPr="00336495" w14:paraId="4341C64E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F20A9" w14:textId="6E9946DF" w:rsidR="00921072" w:rsidRPr="00921072" w:rsidRDefault="00921072" w:rsidP="0092107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Gross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334E77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46,4%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F9FFF32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47,1%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80DE18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2791EA0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3CB3322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-0,9pp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575621D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21072" w:rsidRPr="00336495" w14:paraId="3D7137A8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4D617B06" w14:textId="187ADD7D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Operational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profit (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including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benefit from the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governmental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(*))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FB9631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1 719,84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61BD90C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2 655,28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562A43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533,00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4417E9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3 587,00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FA2F0D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573,0%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8FEAE4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27,8%</w:t>
            </w:r>
          </w:p>
        </w:tc>
      </w:tr>
      <w:tr w:rsidR="00921072" w:rsidRPr="00336495" w14:paraId="7AC21405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3B70FBA7" w14:textId="717166EB" w:rsidR="00921072" w:rsidRPr="00921072" w:rsidRDefault="00921072" w:rsidP="0092107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Operational</w:t>
            </w:r>
            <w:proofErr w:type="spellEnd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73046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F7D530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5E77C4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C977AF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A5476D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7,2pp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561248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921072" w:rsidRPr="00336495" w14:paraId="2AF66205" w14:textId="77777777" w:rsidTr="00F837CD">
        <w:trPr>
          <w:trHeight w:val="288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</w:tcPr>
          <w:p w14:paraId="0286F5A3" w14:textId="054AEB0E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E8A1E66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2 996,86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3BCDAA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4 338,19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F1D91A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2 521,00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C69DB7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6 035,00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413FF66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139,4%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E39D03C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26,3%</w:t>
            </w:r>
          </w:p>
        </w:tc>
      </w:tr>
      <w:tr w:rsidR="00921072" w:rsidRPr="00336495" w14:paraId="6A2D90FD" w14:textId="77777777" w:rsidTr="00F837CD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</w:tcPr>
          <w:p w14:paraId="491B1396" w14:textId="704C8BC3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EBITDA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ECB3D0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5F21A9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10,1%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3F2671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356A00ED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14,3%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EB24BA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8,1pp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90D316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</w:tr>
      <w:tr w:rsidR="00921072" w:rsidRPr="00336495" w14:paraId="0819BAD6" w14:textId="77777777" w:rsidTr="00F837CD">
        <w:trPr>
          <w:trHeight w:val="92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71201FCF" w14:textId="21CFACF4" w:rsidR="00921072" w:rsidRPr="00921072" w:rsidRDefault="00921072" w:rsidP="0092107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Net profit**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71499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2 118,40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D21671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2 438,97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57CEEF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1 165,00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4E76A9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    1 808,00    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CF20BE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55,2%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CC0B62C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-5,1%</w:t>
            </w:r>
          </w:p>
        </w:tc>
      </w:tr>
      <w:tr w:rsidR="00921072" w:rsidRPr="00336495" w14:paraId="102E2D01" w14:textId="77777777" w:rsidTr="00F837CD">
        <w:trPr>
          <w:trHeight w:val="288"/>
        </w:trPr>
        <w:tc>
          <w:tcPr>
            <w:tcW w:w="2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C00000"/>
            </w:tcBorders>
            <w:shd w:val="clear" w:color="auto" w:fill="auto"/>
            <w:noWrap/>
            <w:vAlign w:val="center"/>
            <w:hideMark/>
          </w:tcPr>
          <w:p w14:paraId="5E21592A" w14:textId="024F0014" w:rsidR="00921072" w:rsidRPr="00921072" w:rsidRDefault="00921072" w:rsidP="00921072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Net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0668DA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955210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1DFD4F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2,9%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2F9EB02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8B99F6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1,4pp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42590B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336495" w:rsidRPr="00336495" w14:paraId="0AFFEBC6" w14:textId="77777777" w:rsidTr="00804AAC">
        <w:trPr>
          <w:trHeight w:val="495"/>
        </w:trPr>
        <w:tc>
          <w:tcPr>
            <w:tcW w:w="10775" w:type="dxa"/>
            <w:gridSpan w:val="7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noWrap/>
            <w:vAlign w:val="bottom"/>
            <w:hideMark/>
          </w:tcPr>
          <w:p w14:paraId="56813563" w14:textId="77777777" w:rsidR="00B80F6C" w:rsidRPr="00921072" w:rsidRDefault="00B80F6C" w:rsidP="007768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5E9EF62" w14:textId="55429E49" w:rsidR="00336495" w:rsidRPr="00921072" w:rsidRDefault="00B80F6C" w:rsidP="00CA5EBD">
            <w:pPr>
              <w:ind w:left="-72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21072">
              <w:rPr>
                <w:rFonts w:asciiTheme="minorHAnsi" w:hAnsiTheme="minorHAnsi" w:cstheme="minorHAnsi"/>
                <w:sz w:val="20"/>
                <w:szCs w:val="20"/>
              </w:rPr>
              <w:t>Tab</w:t>
            </w:r>
            <w:r w:rsidR="00921072" w:rsidRPr="00921072">
              <w:rPr>
                <w:rFonts w:asciiTheme="minorHAnsi" w:hAnsiTheme="minorHAnsi" w:cstheme="minorHAnsi"/>
                <w:sz w:val="20"/>
                <w:szCs w:val="20"/>
              </w:rPr>
              <w:t>le</w:t>
            </w:r>
            <w:proofErr w:type="spellEnd"/>
            <w:r w:rsidRPr="00921072">
              <w:rPr>
                <w:rFonts w:asciiTheme="minorHAnsi" w:hAnsiTheme="minorHAnsi" w:cstheme="minorHAnsi"/>
                <w:sz w:val="20"/>
                <w:szCs w:val="20"/>
              </w:rPr>
              <w:t xml:space="preserve"> 2</w:t>
            </w:r>
            <w:r w:rsidR="00921072" w:rsidRPr="0092107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92107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Estimated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consolidated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financial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results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cumulatively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three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CA5EBD">
              <w:rPr>
                <w:rFonts w:asciiTheme="minorHAnsi" w:hAnsiTheme="minorHAnsi" w:cstheme="minorHAnsi"/>
                <w:sz w:val="20"/>
                <w:szCs w:val="20"/>
              </w:rPr>
              <w:t>quarters</w:t>
            </w:r>
            <w:proofErr w:type="spellEnd"/>
            <w:r w:rsidR="00CA5EBD">
              <w:rPr>
                <w:rFonts w:asciiTheme="minorHAnsi" w:hAnsiTheme="minorHAnsi" w:cstheme="minorHAnsi"/>
                <w:sz w:val="20"/>
                <w:szCs w:val="20"/>
              </w:rPr>
              <w:t xml:space="preserve"> of</w:t>
            </w:r>
            <w:r w:rsidR="00336495" w:rsidRPr="00921072">
              <w:rPr>
                <w:rFonts w:asciiTheme="minorHAnsi" w:hAnsiTheme="minorHAnsi" w:cstheme="minorHAnsi"/>
                <w:sz w:val="20"/>
                <w:szCs w:val="20"/>
              </w:rPr>
              <w:t xml:space="preserve"> 2020</w:t>
            </w:r>
          </w:p>
          <w:p w14:paraId="6A9142F6" w14:textId="77777777" w:rsidR="00B80F6C" w:rsidRPr="00921072" w:rsidRDefault="00B80F6C" w:rsidP="00776828">
            <w:pPr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61C2D8B1" w14:textId="77777777" w:rsidR="00336495" w:rsidRPr="00921072" w:rsidRDefault="00336495" w:rsidP="0077682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6495" w:rsidRPr="00336495" w14:paraId="26E74219" w14:textId="77777777" w:rsidTr="00804AAC">
        <w:trPr>
          <w:trHeight w:val="528"/>
        </w:trPr>
        <w:tc>
          <w:tcPr>
            <w:tcW w:w="2273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704CCDF" w14:textId="28D137B4" w:rsidR="00336495" w:rsidRPr="00336495" w:rsidRDefault="00336495" w:rsidP="00776828">
            <w:pPr>
              <w:ind w:left="81"/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[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t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housand</w:t>
            </w:r>
            <w:proofErr w:type="spellEnd"/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PLN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, %, </w:t>
            </w:r>
            <w:proofErr w:type="spellStart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pp</w:t>
            </w:r>
            <w:proofErr w:type="spellEnd"/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]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E34347F" w14:textId="098E015A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2017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23CEA96E" w14:textId="6D7F7C51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336495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2018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4A46AAC4" w14:textId="4887B78B" w:rsidR="00336495" w:rsidRPr="00280B48" w:rsidRDefault="00343D7F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I-III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2019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noWrap/>
            <w:vAlign w:val="center"/>
            <w:hideMark/>
          </w:tcPr>
          <w:p w14:paraId="1411F7D3" w14:textId="26B098F0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B80F6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I-III </w:t>
            </w:r>
            <w:r w:rsidR="00921072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>Q</w:t>
            </w:r>
            <w:r w:rsidRPr="00B80F6C"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  <w:t xml:space="preserve"> 2020 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105D0C3B" w14:textId="4FED496B" w:rsidR="00336495" w:rsidRPr="00336495" w:rsidRDefault="00921072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change</w:t>
            </w:r>
            <w:proofErr w:type="spellEnd"/>
            <w:r w:rsidR="00336495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  <w:r w:rsidR="00336495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I-II</w:t>
            </w:r>
            <w:r w:rsidR="00336495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I</w:t>
            </w:r>
            <w:r w:rsidR="00336495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Q</w:t>
            </w:r>
            <w:r w:rsidR="00336495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 xml:space="preserve"> </w:t>
            </w:r>
            <w:r w:rsidR="00336495"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2020/2019</w:t>
            </w:r>
          </w:p>
        </w:tc>
        <w:tc>
          <w:tcPr>
            <w:tcW w:w="1417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0000"/>
            <w:vAlign w:val="center"/>
            <w:hideMark/>
          </w:tcPr>
          <w:p w14:paraId="5CAAFE36" w14:textId="77777777" w:rsidR="00336495" w:rsidRPr="00336495" w:rsidRDefault="00336495" w:rsidP="00776828">
            <w:pPr>
              <w:jc w:val="center"/>
              <w:rPr>
                <w:rFonts w:asciiTheme="minorHAnsi" w:hAnsiTheme="minorHAnsi" w:cstheme="minorHAnsi"/>
                <w:b/>
                <w:bCs/>
                <w:color w:val="FFFFFF" w:themeColor="background1"/>
                <w:sz w:val="18"/>
                <w:szCs w:val="18"/>
              </w:rPr>
            </w:pP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t>CAGR</w:t>
            </w:r>
            <w:r w:rsidRPr="00DD4A88">
              <w:rPr>
                <w:rFonts w:asciiTheme="minorHAnsi" w:hAnsiTheme="minorHAnsi" w:cstheme="minorHAnsi"/>
                <w:bCs/>
                <w:color w:val="FFFFFF"/>
                <w:sz w:val="18"/>
                <w:szCs w:val="18"/>
              </w:rPr>
              <w:br/>
              <w:t>2017-2020</w:t>
            </w:r>
          </w:p>
        </w:tc>
      </w:tr>
      <w:tr w:rsidR="00921072" w:rsidRPr="00336495" w14:paraId="7273D44C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0DF82D1" w14:textId="350C4B11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Sales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revenues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9AA3536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103 023,99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1C835A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119 595,80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8C01E9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123 404,00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3D63550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132 704,00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6C2189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F36C015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8,8%</w:t>
            </w:r>
          </w:p>
        </w:tc>
      </w:tr>
      <w:tr w:rsidR="00921072" w:rsidRPr="00336495" w14:paraId="696DB80B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0A44C63" w14:textId="68ACB22A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Gross profit on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sales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A1357A5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42 995,00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3161B12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51 922,87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219825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48 828,00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17AA26BD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54 293,00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59CE00C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E4C1FD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8,1%</w:t>
            </w:r>
          </w:p>
        </w:tc>
      </w:tr>
      <w:tr w:rsidR="00921072" w:rsidRPr="00336495" w14:paraId="65A9042B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13A6865" w14:textId="49A3B44A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Gross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sales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8C3C1D6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8EFEBB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43,4%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7335F9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39,6%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8E70B0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40,9%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29F105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1,3pp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B41C82C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21072" w:rsidRPr="00336495" w14:paraId="11A99E8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2011CAB4" w14:textId="7D25C980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Operational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profit (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including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benefit from the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governmental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support</w:t>
            </w:r>
            <w:proofErr w:type="spellEnd"/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 xml:space="preserve"> (*))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59A102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3 547,17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26A0A1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5 358,42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913275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216,00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0ED8496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7 812,00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A84113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3516,7%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79531F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30,1%</w:t>
            </w:r>
          </w:p>
        </w:tc>
      </w:tr>
      <w:tr w:rsidR="00921072" w:rsidRPr="00336495" w14:paraId="21AA0EA7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3346350" w14:textId="5B68F5F6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Operational</w:t>
            </w:r>
            <w:proofErr w:type="spellEnd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BD2B09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3,4%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5CCDFB2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5290712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20119B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F43D1E7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5,7pp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7D857B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21072" w:rsidRPr="00336495" w14:paraId="3B8FEAEE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400EA39" w14:textId="6D469C04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226401D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7 281,19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0763CE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sz w:val="18"/>
                <w:szCs w:val="18"/>
              </w:rPr>
              <w:t>10 147,07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30A3AE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6 275,00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5A81FB5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14 802,00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7933EFF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135,9%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76E49E0A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26,7%</w:t>
            </w:r>
          </w:p>
        </w:tc>
      </w:tr>
      <w:tr w:rsidR="00921072" w:rsidRPr="00336495" w14:paraId="629F56ED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1B348BB3" w14:textId="41781D19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EBITDA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9E00055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7,1%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3179A076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8,5%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220D91B5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D9B8120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11,2%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1B5A78E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6,1pp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40E9C10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  <w:tr w:rsidR="00921072" w:rsidRPr="00336495" w14:paraId="469575B6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15D6A814" w14:textId="1CBBE0B6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color w:val="000000"/>
                <w:sz w:val="18"/>
                <w:szCs w:val="18"/>
              </w:rPr>
              <w:t>Net profit**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6FAC2E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4 260,19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3D142E9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5 010,34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4A4C8823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750F776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6 419,00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D64E908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1435,6%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534CDBB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14,6%</w:t>
            </w:r>
          </w:p>
        </w:tc>
      </w:tr>
      <w:tr w:rsidR="00921072" w:rsidRPr="00336495" w14:paraId="3C8199E4" w14:textId="77777777" w:rsidTr="00804AAC">
        <w:trPr>
          <w:trHeight w:val="288"/>
        </w:trPr>
        <w:tc>
          <w:tcPr>
            <w:tcW w:w="2273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6ED1A17A" w14:textId="506A1560" w:rsidR="00921072" w:rsidRPr="00336495" w:rsidRDefault="00921072" w:rsidP="00921072">
            <w:pPr>
              <w:ind w:left="81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Net </w:t>
            </w:r>
            <w:proofErr w:type="spellStart"/>
            <w:r w:rsidRPr="00921072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margin</w:t>
            </w:r>
            <w:proofErr w:type="spellEnd"/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B2CC7C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4,1%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7FF8B38B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4,2%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  <w:hideMark/>
          </w:tcPr>
          <w:p w14:paraId="030CD9C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0,3%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BFBFBF" w:themeFill="background1" w:themeFillShade="BF"/>
            <w:noWrap/>
            <w:vAlign w:val="center"/>
          </w:tcPr>
          <w:p w14:paraId="1F0A7724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4,8%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6F895221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80808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4,5pp</w:t>
            </w:r>
          </w:p>
        </w:tc>
        <w:tc>
          <w:tcPr>
            <w:tcW w:w="1417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auto"/>
            <w:noWrap/>
            <w:vAlign w:val="center"/>
          </w:tcPr>
          <w:p w14:paraId="0220B9B9" w14:textId="77777777" w:rsidR="00921072" w:rsidRPr="00336495" w:rsidRDefault="00921072" w:rsidP="00921072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 w:rsidRPr="00336495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</w:tr>
    </w:tbl>
    <w:p w14:paraId="52F995B3" w14:textId="77777777" w:rsidR="00BC2308" w:rsidRDefault="00BC2308" w:rsidP="00776828">
      <w:pPr>
        <w:rPr>
          <w:rFonts w:asciiTheme="minorHAnsi" w:eastAsia="Calibri" w:hAnsiTheme="minorHAnsi" w:cstheme="minorHAnsi"/>
          <w:bCs/>
          <w:sz w:val="18"/>
          <w:szCs w:val="18"/>
          <w:lang w:eastAsia="en-US"/>
        </w:rPr>
      </w:pPr>
    </w:p>
    <w:p w14:paraId="44116392" w14:textId="77777777" w:rsidR="00921072" w:rsidRDefault="00921072" w:rsidP="0092107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</w:p>
    <w:p w14:paraId="21472BBA" w14:textId="45721160" w:rsidR="00921072" w:rsidRPr="00921072" w:rsidRDefault="00921072" w:rsidP="0092107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lastRenderedPageBreak/>
        <w:t xml:space="preserve">* A grant of EUR 935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thousand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to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protect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jobs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from the FGŚP (2Q20) + 1,700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thousand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(3Q20)</w:t>
      </w:r>
    </w:p>
    <w:p w14:paraId="4265496D" w14:textId="77777777" w:rsidR="00921072" w:rsidRPr="00921072" w:rsidRDefault="00921072" w:rsidP="0092107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-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total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2,635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thousand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to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subsidise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the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wages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of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workers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not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covered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by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economic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downtime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</w:p>
    <w:p w14:paraId="42BE9FAF" w14:textId="77777777" w:rsidR="00921072" w:rsidRPr="00921072" w:rsidRDefault="00921072" w:rsidP="00921072">
      <w:pPr>
        <w:widowControl w:val="0"/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18"/>
          <w:szCs w:val="18"/>
        </w:rPr>
      </w:pP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or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reduced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working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time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due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to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economic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turnover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following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the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withdrawal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of COVID-19</w:t>
      </w:r>
    </w:p>
    <w:p w14:paraId="30B035A1" w14:textId="2600C22F" w:rsidR="00336495" w:rsidRPr="00DD4A88" w:rsidRDefault="00921072" w:rsidP="0092107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** for the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shareholders</w:t>
      </w:r>
      <w:proofErr w:type="spellEnd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 xml:space="preserve"> of the dominant </w:t>
      </w:r>
      <w:proofErr w:type="spellStart"/>
      <w:r w:rsidRPr="00921072">
        <w:rPr>
          <w:rFonts w:ascii="Calibri" w:hAnsi="Calibri" w:cs="Calibri"/>
          <w:i/>
          <w:iCs/>
          <w:color w:val="000000"/>
          <w:sz w:val="18"/>
          <w:szCs w:val="18"/>
        </w:rPr>
        <w:t>company</w:t>
      </w:r>
      <w:proofErr w:type="spellEnd"/>
    </w:p>
    <w:p w14:paraId="73062825" w14:textId="77777777" w:rsidR="00E04CE8" w:rsidRPr="00375386" w:rsidRDefault="00E04CE8" w:rsidP="00776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E3EF84B" w14:textId="109419D2" w:rsidR="00A0186C" w:rsidRPr="00375386" w:rsidRDefault="00921072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Contact</w:t>
      </w:r>
      <w:proofErr w:type="spellEnd"/>
      <w:r>
        <w:rPr>
          <w:rFonts w:asciiTheme="minorHAnsi" w:hAnsiTheme="minorHAnsi" w:cstheme="minorHAnsi"/>
          <w:b/>
          <w:bCs/>
          <w:sz w:val="20"/>
          <w:szCs w:val="20"/>
        </w:rPr>
        <w:t xml:space="preserve"> for media and </w:t>
      </w:r>
      <w:proofErr w:type="spellStart"/>
      <w:r>
        <w:rPr>
          <w:rFonts w:asciiTheme="minorHAnsi" w:hAnsiTheme="minorHAnsi" w:cstheme="minorHAnsi"/>
          <w:b/>
          <w:bCs/>
          <w:sz w:val="20"/>
          <w:szCs w:val="20"/>
        </w:rPr>
        <w:t>investors</w:t>
      </w:r>
      <w:proofErr w:type="spellEnd"/>
      <w:r w:rsidR="00A0186C" w:rsidRPr="00375386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60C841F7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7D979012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75386">
        <w:rPr>
          <w:rFonts w:asciiTheme="minorHAnsi" w:hAnsiTheme="minorHAnsi" w:cstheme="minorHAnsi"/>
          <w:b/>
          <w:bCs/>
          <w:sz w:val="20"/>
          <w:szCs w:val="20"/>
        </w:rPr>
        <w:t xml:space="preserve">Monika </w:t>
      </w:r>
      <w:proofErr w:type="spellStart"/>
      <w:r w:rsidRPr="00375386">
        <w:rPr>
          <w:rFonts w:asciiTheme="minorHAnsi" w:hAnsiTheme="minorHAnsi" w:cstheme="minorHAnsi"/>
          <w:b/>
          <w:bCs/>
          <w:sz w:val="20"/>
          <w:szCs w:val="20"/>
        </w:rPr>
        <w:t>Bartoszak</w:t>
      </w:r>
      <w:proofErr w:type="spellEnd"/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ab/>
        <w:t>Kamila Górczyńska-</w:t>
      </w:r>
      <w:proofErr w:type="spellStart"/>
      <w:r w:rsidR="00C05A86" w:rsidRPr="00375386">
        <w:rPr>
          <w:rFonts w:asciiTheme="minorHAnsi" w:hAnsiTheme="minorHAnsi" w:cstheme="minorHAnsi"/>
          <w:b/>
          <w:bCs/>
          <w:sz w:val="20"/>
          <w:szCs w:val="20"/>
        </w:rPr>
        <w:t>Żyżkowska</w:t>
      </w:r>
      <w:proofErr w:type="spellEnd"/>
    </w:p>
    <w:p w14:paraId="3A7EFF98" w14:textId="6FE0CB07" w:rsidR="00A0186C" w:rsidRPr="00375386" w:rsidRDefault="00921072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asciiTheme="minorHAnsi" w:hAnsiTheme="minorHAnsi" w:cstheme="minorHAnsi"/>
          <w:sz w:val="20"/>
          <w:szCs w:val="20"/>
        </w:rPr>
        <w:t>Director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 the Management Board and </w:t>
      </w:r>
      <w:proofErr w:type="spellStart"/>
      <w:r>
        <w:rPr>
          <w:rFonts w:asciiTheme="minorHAnsi" w:hAnsiTheme="minorHAnsi" w:cstheme="minorHAnsi"/>
          <w:sz w:val="20"/>
          <w:szCs w:val="20"/>
        </w:rPr>
        <w:t>Communication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Office</w:t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</w:rPr>
        <w:tab/>
        <w:t xml:space="preserve"> </w:t>
      </w:r>
    </w:p>
    <w:p w14:paraId="35204A34" w14:textId="28098C62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375386">
        <w:rPr>
          <w:rFonts w:asciiTheme="minorHAnsi" w:hAnsiTheme="minorHAnsi" w:cstheme="minorHAnsi"/>
          <w:sz w:val="20"/>
          <w:szCs w:val="20"/>
          <w:lang w:val="en-US"/>
        </w:rPr>
        <w:t>+48 510 183 993</w:t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914DB9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>+48 601 805 484</w:t>
      </w:r>
    </w:p>
    <w:p w14:paraId="32CB7A84" w14:textId="77777777" w:rsidR="00A0186C" w:rsidRPr="00375386" w:rsidRDefault="00324584" w:rsidP="00776828">
      <w:pPr>
        <w:widowControl w:val="0"/>
        <w:autoSpaceDE w:val="0"/>
        <w:autoSpaceDN w:val="0"/>
        <w:adjustRightInd w:val="0"/>
        <w:ind w:right="-766"/>
        <w:jc w:val="both"/>
        <w:rPr>
          <w:rFonts w:asciiTheme="minorHAnsi" w:hAnsiTheme="minorHAnsi" w:cstheme="minorHAnsi"/>
          <w:sz w:val="20"/>
          <w:szCs w:val="20"/>
          <w:lang w:val="en-US"/>
        </w:rPr>
      </w:pPr>
      <w:hyperlink r:id="rId8" w:history="1">
        <w:r w:rsidR="00A0186C" w:rsidRPr="00375386">
          <w:rPr>
            <w:rFonts w:asciiTheme="minorHAnsi" w:hAnsiTheme="minorHAnsi" w:cstheme="minorHAnsi"/>
            <w:sz w:val="20"/>
            <w:szCs w:val="20"/>
            <w:lang w:val="en-US"/>
          </w:rPr>
          <w:t>monika.bartoszak@lug.com.pl</w:t>
        </w:r>
      </w:hyperlink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</w:r>
      <w:r w:rsidR="00C05A86" w:rsidRPr="00375386">
        <w:rPr>
          <w:rFonts w:asciiTheme="minorHAnsi" w:hAnsiTheme="minorHAnsi" w:cstheme="minorHAnsi"/>
          <w:sz w:val="20"/>
          <w:szCs w:val="20"/>
          <w:lang w:val="en-US"/>
        </w:rPr>
        <w:tab/>
        <w:t>kamila.zyzkowska@intouchpr.pl</w:t>
      </w:r>
    </w:p>
    <w:p w14:paraId="4327FAB0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en-US"/>
        </w:rPr>
      </w:pPr>
    </w:p>
    <w:p w14:paraId="6FC8F884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rPr>
          <w:rFonts w:asciiTheme="minorHAnsi" w:hAnsiTheme="minorHAnsi" w:cstheme="minorHAnsi"/>
          <w:sz w:val="20"/>
          <w:szCs w:val="20"/>
          <w:lang w:val="en-US"/>
        </w:rPr>
      </w:pPr>
    </w:p>
    <w:p w14:paraId="0BF2E434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262313A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5C0733DE" w14:textId="77777777" w:rsidR="00BC2308" w:rsidRDefault="00BC2308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  <w:lang w:val="en-US"/>
        </w:rPr>
      </w:pPr>
    </w:p>
    <w:p w14:paraId="1B5DB586" w14:textId="77777777" w:rsidR="00A0186C" w:rsidRPr="00375386" w:rsidRDefault="00A0186C" w:rsidP="00776828">
      <w:pPr>
        <w:widowControl w:val="0"/>
        <w:autoSpaceDE w:val="0"/>
        <w:autoSpaceDN w:val="0"/>
        <w:adjustRightInd w:val="0"/>
        <w:ind w:right="-766"/>
        <w:jc w:val="center"/>
        <w:rPr>
          <w:rFonts w:asciiTheme="minorHAnsi" w:hAnsiTheme="minorHAnsi" w:cstheme="minorHAnsi"/>
          <w:sz w:val="20"/>
          <w:szCs w:val="20"/>
        </w:rPr>
      </w:pPr>
      <w:r w:rsidRPr="00375386">
        <w:rPr>
          <w:rFonts w:asciiTheme="minorHAnsi" w:hAnsiTheme="minorHAnsi" w:cstheme="minorHAnsi"/>
          <w:sz w:val="20"/>
          <w:szCs w:val="20"/>
        </w:rPr>
        <w:t>***</w:t>
      </w:r>
    </w:p>
    <w:p w14:paraId="02A3A4BF" w14:textId="7DFEF5FA" w:rsidR="00CA5EBD" w:rsidRDefault="00CA5EBD" w:rsidP="00776828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  <w:u w:val="single" w:color="0000FF"/>
        </w:rPr>
      </w:pPr>
    </w:p>
    <w:p w14:paraId="392F6A89" w14:textId="723E712F" w:rsidR="00CA5EBD" w:rsidRPr="00375386" w:rsidRDefault="00CA5EBD" w:rsidP="00776828">
      <w:pPr>
        <w:widowControl w:val="0"/>
        <w:autoSpaceDE w:val="0"/>
        <w:autoSpaceDN w:val="0"/>
        <w:adjustRightInd w:val="0"/>
        <w:ind w:right="84"/>
        <w:jc w:val="both"/>
        <w:rPr>
          <w:rFonts w:asciiTheme="minorHAnsi" w:hAnsiTheme="minorHAnsi" w:cstheme="minorHAnsi"/>
          <w:sz w:val="20"/>
          <w:szCs w:val="20"/>
        </w:rPr>
      </w:pPr>
      <w:r w:rsidRPr="00CA5EBD">
        <w:rPr>
          <w:rFonts w:asciiTheme="minorHAnsi" w:hAnsiTheme="minorHAnsi" w:cstheme="minorHAnsi"/>
          <w:b/>
          <w:bCs/>
          <w:sz w:val="20"/>
          <w:szCs w:val="20"/>
        </w:rPr>
        <w:t>LUG S.A.</w:t>
      </w:r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is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a holding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company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of the LUG S.A.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A5EBD">
        <w:rPr>
          <w:rFonts w:asciiTheme="minorHAnsi" w:hAnsiTheme="minorHAnsi" w:cstheme="minorHAnsi"/>
          <w:sz w:val="20"/>
          <w:szCs w:val="20"/>
        </w:rPr>
        <w:t xml:space="preserve">Capital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- one of the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leading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European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producers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of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professional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solutions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sells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its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products in Poland and in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several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dozen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countries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around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the</w:t>
      </w:r>
      <w:r>
        <w:rPr>
          <w:rFonts w:asciiTheme="minorHAnsi" w:hAnsiTheme="minorHAnsi" w:cstheme="minorHAnsi"/>
          <w:sz w:val="20"/>
          <w:szCs w:val="20"/>
        </w:rPr>
        <w:t> 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world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. The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company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with 30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years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of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experience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based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in Zielona Góra,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has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been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operating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as a Capital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Group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since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2008. It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consists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of: LUG S.A., LUG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Light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Factory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Sp. z o.o., LUG GmbH, LUG do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Brasil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Ltda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, LUG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Lighting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UK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5EBD">
        <w:rPr>
          <w:rFonts w:asciiTheme="minorHAnsi" w:hAnsiTheme="minorHAnsi" w:cstheme="minorHAnsi"/>
          <w:sz w:val="20"/>
          <w:szCs w:val="20"/>
        </w:rPr>
        <w:t xml:space="preserve">Ltd., TOW LUG Ukraina, BIOT Sp. z o.o., LUG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Argentina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SA, LUG Turkey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CA5EBD">
        <w:rPr>
          <w:rFonts w:asciiTheme="minorHAnsi" w:hAnsiTheme="minorHAnsi" w:cstheme="minorHAnsi"/>
          <w:sz w:val="20"/>
          <w:szCs w:val="20"/>
        </w:rPr>
        <w:t xml:space="preserve"> ESCOLIGHT Sp. z o.o., LUG Services Sp.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5EBD">
        <w:rPr>
          <w:rFonts w:asciiTheme="minorHAnsi" w:hAnsiTheme="minorHAnsi" w:cstheme="minorHAnsi"/>
          <w:sz w:val="20"/>
          <w:szCs w:val="20"/>
        </w:rPr>
        <w:t>z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5EBD">
        <w:rPr>
          <w:rFonts w:asciiTheme="minorHAnsi" w:hAnsiTheme="minorHAnsi" w:cstheme="minorHAnsi"/>
          <w:sz w:val="20"/>
          <w:szCs w:val="20"/>
        </w:rPr>
        <w:t>o.o. and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CA5EBD">
        <w:rPr>
          <w:rFonts w:asciiTheme="minorHAnsi" w:hAnsiTheme="minorHAnsi" w:cstheme="minorHAnsi"/>
          <w:sz w:val="20"/>
          <w:szCs w:val="20"/>
        </w:rPr>
        <w:t xml:space="preserve">LUG West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Africa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Ltd. LUG S.A.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since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November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2007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it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has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been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listed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on the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NewConnect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market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managed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by the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Warsaw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Stock Exchange.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More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CA5EBD">
        <w:rPr>
          <w:rFonts w:asciiTheme="minorHAnsi" w:hAnsiTheme="minorHAnsi" w:cstheme="minorHAnsi"/>
          <w:sz w:val="20"/>
          <w:szCs w:val="20"/>
        </w:rPr>
        <w:t>information</w:t>
      </w:r>
      <w:proofErr w:type="spellEnd"/>
      <w:r w:rsidRPr="00CA5EBD">
        <w:rPr>
          <w:rFonts w:asciiTheme="minorHAnsi" w:hAnsiTheme="minorHAnsi" w:cstheme="minorHAnsi"/>
          <w:sz w:val="20"/>
          <w:szCs w:val="20"/>
        </w:rPr>
        <w:t>: www.lug.com.pl</w:t>
      </w:r>
    </w:p>
    <w:p w14:paraId="0C1D2A83" w14:textId="77777777" w:rsidR="00A0186C" w:rsidRPr="00375386" w:rsidRDefault="00A0186C" w:rsidP="007768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F49D95" w14:textId="77777777" w:rsidR="002A2736" w:rsidRPr="00375386" w:rsidRDefault="002A2736" w:rsidP="00776828">
      <w:pPr>
        <w:rPr>
          <w:rFonts w:asciiTheme="minorHAnsi" w:hAnsiTheme="minorHAnsi" w:cstheme="minorHAnsi"/>
          <w:sz w:val="20"/>
          <w:szCs w:val="20"/>
        </w:rPr>
      </w:pPr>
    </w:p>
    <w:sectPr w:rsidR="002A2736" w:rsidRPr="00375386" w:rsidSect="0012404D">
      <w:headerReference w:type="default" r:id="rId9"/>
      <w:footerReference w:type="default" r:id="rId10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A076E" w14:textId="77777777" w:rsidR="00324584" w:rsidRDefault="00324584">
      <w:r>
        <w:separator/>
      </w:r>
    </w:p>
  </w:endnote>
  <w:endnote w:type="continuationSeparator" w:id="0">
    <w:p w14:paraId="68D739DD" w14:textId="77777777" w:rsidR="00324584" w:rsidRDefault="0032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ppleSystemUIFont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559E" w14:textId="77777777" w:rsidR="00324584" w:rsidRDefault="00324584">
      <w:r>
        <w:separator/>
      </w:r>
    </w:p>
  </w:footnote>
  <w:footnote w:type="continuationSeparator" w:id="0">
    <w:p w14:paraId="2EF59448" w14:textId="77777777" w:rsidR="00324584" w:rsidRDefault="00324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3"/>
  </w:num>
  <w:num w:numId="8">
    <w:abstractNumId w:val="12"/>
  </w:num>
  <w:num w:numId="9">
    <w:abstractNumId w:val="10"/>
  </w:num>
  <w:num w:numId="10">
    <w:abstractNumId w:val="4"/>
  </w:num>
  <w:num w:numId="11">
    <w:abstractNumId w:val="13"/>
  </w:num>
  <w:num w:numId="12">
    <w:abstractNumId w:val="8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ED8"/>
    <w:rsid w:val="00013146"/>
    <w:rsid w:val="00025A9F"/>
    <w:rsid w:val="0003379D"/>
    <w:rsid w:val="00041B56"/>
    <w:rsid w:val="00054F99"/>
    <w:rsid w:val="00064003"/>
    <w:rsid w:val="000821FE"/>
    <w:rsid w:val="00090935"/>
    <w:rsid w:val="000D23A8"/>
    <w:rsid w:val="001000FF"/>
    <w:rsid w:val="00111D1A"/>
    <w:rsid w:val="00111E31"/>
    <w:rsid w:val="00122D1E"/>
    <w:rsid w:val="0012404D"/>
    <w:rsid w:val="00132B2A"/>
    <w:rsid w:val="00135CC2"/>
    <w:rsid w:val="0013764C"/>
    <w:rsid w:val="001413BC"/>
    <w:rsid w:val="00145783"/>
    <w:rsid w:val="00150D07"/>
    <w:rsid w:val="001776C6"/>
    <w:rsid w:val="001A67D8"/>
    <w:rsid w:val="001C2687"/>
    <w:rsid w:val="001D57A4"/>
    <w:rsid w:val="001E0146"/>
    <w:rsid w:val="001E130C"/>
    <w:rsid w:val="001E6AC9"/>
    <w:rsid w:val="001F6867"/>
    <w:rsid w:val="00214C2B"/>
    <w:rsid w:val="00220A66"/>
    <w:rsid w:val="0024624B"/>
    <w:rsid w:val="002551BF"/>
    <w:rsid w:val="002732FB"/>
    <w:rsid w:val="00280B48"/>
    <w:rsid w:val="00284FD0"/>
    <w:rsid w:val="00294DAF"/>
    <w:rsid w:val="002A2736"/>
    <w:rsid w:val="002A4B7D"/>
    <w:rsid w:val="002B3947"/>
    <w:rsid w:val="002C06E9"/>
    <w:rsid w:val="002D5E50"/>
    <w:rsid w:val="002D68B3"/>
    <w:rsid w:val="00324584"/>
    <w:rsid w:val="00332B11"/>
    <w:rsid w:val="00336495"/>
    <w:rsid w:val="00343D7F"/>
    <w:rsid w:val="00346839"/>
    <w:rsid w:val="0035449F"/>
    <w:rsid w:val="0036587D"/>
    <w:rsid w:val="00375386"/>
    <w:rsid w:val="00384B23"/>
    <w:rsid w:val="00385BCA"/>
    <w:rsid w:val="0039083E"/>
    <w:rsid w:val="003924EA"/>
    <w:rsid w:val="00394C24"/>
    <w:rsid w:val="00396023"/>
    <w:rsid w:val="003B575E"/>
    <w:rsid w:val="004010D6"/>
    <w:rsid w:val="00420541"/>
    <w:rsid w:val="004400C5"/>
    <w:rsid w:val="00441DBD"/>
    <w:rsid w:val="004816EA"/>
    <w:rsid w:val="004A0C31"/>
    <w:rsid w:val="004B1D0E"/>
    <w:rsid w:val="004B562C"/>
    <w:rsid w:val="004B74DD"/>
    <w:rsid w:val="004C40D3"/>
    <w:rsid w:val="004C4931"/>
    <w:rsid w:val="004D54DF"/>
    <w:rsid w:val="004F3CE3"/>
    <w:rsid w:val="00501B4A"/>
    <w:rsid w:val="00513052"/>
    <w:rsid w:val="00531831"/>
    <w:rsid w:val="00544BF7"/>
    <w:rsid w:val="00553F98"/>
    <w:rsid w:val="00556C77"/>
    <w:rsid w:val="00566BBA"/>
    <w:rsid w:val="00574169"/>
    <w:rsid w:val="005A3D71"/>
    <w:rsid w:val="005B1722"/>
    <w:rsid w:val="005C389E"/>
    <w:rsid w:val="005C3932"/>
    <w:rsid w:val="005E7A6A"/>
    <w:rsid w:val="005F76FD"/>
    <w:rsid w:val="00622426"/>
    <w:rsid w:val="006268D7"/>
    <w:rsid w:val="00657990"/>
    <w:rsid w:val="00672866"/>
    <w:rsid w:val="006901B2"/>
    <w:rsid w:val="006945E8"/>
    <w:rsid w:val="006A1FEB"/>
    <w:rsid w:val="006A44D3"/>
    <w:rsid w:val="006A7553"/>
    <w:rsid w:val="006D1F0D"/>
    <w:rsid w:val="006E7A6D"/>
    <w:rsid w:val="006F4451"/>
    <w:rsid w:val="006F7818"/>
    <w:rsid w:val="00711058"/>
    <w:rsid w:val="00732851"/>
    <w:rsid w:val="007437B3"/>
    <w:rsid w:val="00746442"/>
    <w:rsid w:val="00767BA7"/>
    <w:rsid w:val="007749D8"/>
    <w:rsid w:val="00776828"/>
    <w:rsid w:val="00781648"/>
    <w:rsid w:val="007852CD"/>
    <w:rsid w:val="007858B1"/>
    <w:rsid w:val="007B1CD6"/>
    <w:rsid w:val="007C4322"/>
    <w:rsid w:val="007C43D9"/>
    <w:rsid w:val="007E47EA"/>
    <w:rsid w:val="007E5811"/>
    <w:rsid w:val="007F0CFA"/>
    <w:rsid w:val="007F1608"/>
    <w:rsid w:val="007F4334"/>
    <w:rsid w:val="00804AAC"/>
    <w:rsid w:val="008134C9"/>
    <w:rsid w:val="00813A55"/>
    <w:rsid w:val="00826DB1"/>
    <w:rsid w:val="0083292C"/>
    <w:rsid w:val="00842080"/>
    <w:rsid w:val="00861805"/>
    <w:rsid w:val="0086504F"/>
    <w:rsid w:val="00867A75"/>
    <w:rsid w:val="00871724"/>
    <w:rsid w:val="0089387B"/>
    <w:rsid w:val="008A3467"/>
    <w:rsid w:val="008B7ACE"/>
    <w:rsid w:val="008D0694"/>
    <w:rsid w:val="008D574B"/>
    <w:rsid w:val="00914DB9"/>
    <w:rsid w:val="00921072"/>
    <w:rsid w:val="0092679B"/>
    <w:rsid w:val="00935C9B"/>
    <w:rsid w:val="00955FB9"/>
    <w:rsid w:val="0099575A"/>
    <w:rsid w:val="009B4120"/>
    <w:rsid w:val="009C0E80"/>
    <w:rsid w:val="009C278E"/>
    <w:rsid w:val="009F3B14"/>
    <w:rsid w:val="00A0186C"/>
    <w:rsid w:val="00A03E4E"/>
    <w:rsid w:val="00A04BDA"/>
    <w:rsid w:val="00A22730"/>
    <w:rsid w:val="00A3323B"/>
    <w:rsid w:val="00A363B5"/>
    <w:rsid w:val="00A83E2A"/>
    <w:rsid w:val="00A955BD"/>
    <w:rsid w:val="00A96C16"/>
    <w:rsid w:val="00AB2089"/>
    <w:rsid w:val="00AC77CB"/>
    <w:rsid w:val="00AE457F"/>
    <w:rsid w:val="00AF2057"/>
    <w:rsid w:val="00B20FDC"/>
    <w:rsid w:val="00B30281"/>
    <w:rsid w:val="00B340D3"/>
    <w:rsid w:val="00B436E9"/>
    <w:rsid w:val="00B77EA1"/>
    <w:rsid w:val="00B80F6C"/>
    <w:rsid w:val="00B84549"/>
    <w:rsid w:val="00B931C1"/>
    <w:rsid w:val="00BA4A95"/>
    <w:rsid w:val="00BA65A8"/>
    <w:rsid w:val="00BA78D2"/>
    <w:rsid w:val="00BB0F33"/>
    <w:rsid w:val="00BB566E"/>
    <w:rsid w:val="00BC0E73"/>
    <w:rsid w:val="00BC2308"/>
    <w:rsid w:val="00BE30E4"/>
    <w:rsid w:val="00BF114C"/>
    <w:rsid w:val="00C01B57"/>
    <w:rsid w:val="00C0287F"/>
    <w:rsid w:val="00C05A86"/>
    <w:rsid w:val="00C06221"/>
    <w:rsid w:val="00C124E6"/>
    <w:rsid w:val="00C1452A"/>
    <w:rsid w:val="00C40EB0"/>
    <w:rsid w:val="00C45440"/>
    <w:rsid w:val="00C474D8"/>
    <w:rsid w:val="00C53545"/>
    <w:rsid w:val="00C55A35"/>
    <w:rsid w:val="00C6317B"/>
    <w:rsid w:val="00C73AF9"/>
    <w:rsid w:val="00C74955"/>
    <w:rsid w:val="00C74979"/>
    <w:rsid w:val="00CA2A88"/>
    <w:rsid w:val="00CA5EBD"/>
    <w:rsid w:val="00CB26B0"/>
    <w:rsid w:val="00CF7071"/>
    <w:rsid w:val="00D06519"/>
    <w:rsid w:val="00D226E8"/>
    <w:rsid w:val="00D26087"/>
    <w:rsid w:val="00D27185"/>
    <w:rsid w:val="00D3787A"/>
    <w:rsid w:val="00D444D8"/>
    <w:rsid w:val="00D53F5D"/>
    <w:rsid w:val="00D5748E"/>
    <w:rsid w:val="00D72456"/>
    <w:rsid w:val="00D7746C"/>
    <w:rsid w:val="00D823E0"/>
    <w:rsid w:val="00DC44E0"/>
    <w:rsid w:val="00DD0310"/>
    <w:rsid w:val="00DD4A88"/>
    <w:rsid w:val="00DE4E0D"/>
    <w:rsid w:val="00DE6DB2"/>
    <w:rsid w:val="00DF2807"/>
    <w:rsid w:val="00DF619D"/>
    <w:rsid w:val="00E01ED8"/>
    <w:rsid w:val="00E04CE8"/>
    <w:rsid w:val="00E05EEB"/>
    <w:rsid w:val="00E1533C"/>
    <w:rsid w:val="00E23EB3"/>
    <w:rsid w:val="00E2408B"/>
    <w:rsid w:val="00E46CE2"/>
    <w:rsid w:val="00E763D9"/>
    <w:rsid w:val="00E93A15"/>
    <w:rsid w:val="00E94076"/>
    <w:rsid w:val="00EC23F7"/>
    <w:rsid w:val="00ED0135"/>
    <w:rsid w:val="00EE3DB7"/>
    <w:rsid w:val="00EE677D"/>
    <w:rsid w:val="00F15206"/>
    <w:rsid w:val="00F25946"/>
    <w:rsid w:val="00F27F35"/>
    <w:rsid w:val="00F40F2A"/>
    <w:rsid w:val="00F444DA"/>
    <w:rsid w:val="00F45096"/>
    <w:rsid w:val="00F50051"/>
    <w:rsid w:val="00F82806"/>
    <w:rsid w:val="00F93AB1"/>
    <w:rsid w:val="00FE2FAB"/>
    <w:rsid w:val="00FF447F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CE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semiHidden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921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bartoszak@lug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3E8022-531C-A647-8D85-7BE50BCF4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1116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lug</Company>
  <LinksUpToDate>false</LinksUpToDate>
  <CharactersWithSpaces>7798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Angelika Biały</cp:lastModifiedBy>
  <cp:revision>2</cp:revision>
  <cp:lastPrinted>2008-08-01T06:16:00Z</cp:lastPrinted>
  <dcterms:created xsi:type="dcterms:W3CDTF">2020-11-05T10:30:00Z</dcterms:created>
  <dcterms:modified xsi:type="dcterms:W3CDTF">2020-11-05T10:30:00Z</dcterms:modified>
</cp:coreProperties>
</file>