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43B1" w14:textId="77777777" w:rsidR="00D2390D" w:rsidRPr="002C69BE" w:rsidRDefault="00D2390D" w:rsidP="000D2D36">
      <w:pPr>
        <w:pStyle w:val="Nagwek1"/>
        <w:spacing w:before="120"/>
        <w:jc w:val="right"/>
        <w:rPr>
          <w:rFonts w:asciiTheme="majorHAnsi" w:hAnsiTheme="majorHAnsi" w:cs="Tahoma"/>
          <w:color w:val="404040"/>
          <w:sz w:val="22"/>
          <w:szCs w:val="22"/>
        </w:rPr>
      </w:pPr>
      <w:r w:rsidRPr="002C69BE">
        <w:rPr>
          <w:rFonts w:asciiTheme="majorHAnsi" w:hAnsiTheme="majorHAnsi" w:cs="Tahoma"/>
          <w:color w:val="404040"/>
          <w:sz w:val="22"/>
          <w:szCs w:val="22"/>
        </w:rPr>
        <w:t>Informacja prasowa</w:t>
      </w:r>
    </w:p>
    <w:p w14:paraId="1371BA84" w14:textId="45969A76" w:rsidR="005B1722" w:rsidRPr="002C69BE" w:rsidRDefault="008A60FF" w:rsidP="000D2D36">
      <w:pPr>
        <w:jc w:val="right"/>
        <w:rPr>
          <w:rFonts w:asciiTheme="majorHAnsi" w:hAnsiTheme="majorHAnsi"/>
          <w:sz w:val="22"/>
          <w:szCs w:val="22"/>
        </w:rPr>
      </w:pPr>
      <w:r w:rsidRPr="002C69BE">
        <w:rPr>
          <w:rFonts w:asciiTheme="majorHAnsi" w:hAnsiTheme="majorHAnsi"/>
          <w:sz w:val="22"/>
          <w:szCs w:val="22"/>
        </w:rPr>
        <w:t>2</w:t>
      </w:r>
      <w:r w:rsidR="00920388" w:rsidRPr="002C69BE">
        <w:rPr>
          <w:rFonts w:asciiTheme="majorHAnsi" w:hAnsiTheme="majorHAnsi"/>
          <w:sz w:val="22"/>
          <w:szCs w:val="22"/>
        </w:rPr>
        <w:t>3</w:t>
      </w:r>
      <w:r w:rsidR="00DF5F51" w:rsidRPr="002C69BE">
        <w:rPr>
          <w:rFonts w:asciiTheme="majorHAnsi" w:hAnsiTheme="majorHAnsi"/>
          <w:sz w:val="22"/>
          <w:szCs w:val="22"/>
        </w:rPr>
        <w:t>.</w:t>
      </w:r>
      <w:r w:rsidR="00C73B48" w:rsidRPr="002C69BE">
        <w:rPr>
          <w:rFonts w:asciiTheme="majorHAnsi" w:hAnsiTheme="majorHAnsi"/>
          <w:sz w:val="22"/>
          <w:szCs w:val="22"/>
        </w:rPr>
        <w:t>0</w:t>
      </w:r>
      <w:r w:rsidR="00FC35CC" w:rsidRPr="002C69BE">
        <w:rPr>
          <w:rFonts w:asciiTheme="majorHAnsi" w:hAnsiTheme="majorHAnsi"/>
          <w:sz w:val="22"/>
          <w:szCs w:val="22"/>
        </w:rPr>
        <w:t>5</w:t>
      </w:r>
      <w:r w:rsidR="00DF5F51" w:rsidRPr="002C69BE">
        <w:rPr>
          <w:rFonts w:asciiTheme="majorHAnsi" w:hAnsiTheme="majorHAnsi"/>
          <w:sz w:val="22"/>
          <w:szCs w:val="22"/>
        </w:rPr>
        <w:t>.201</w:t>
      </w:r>
      <w:r w:rsidR="00C73B48" w:rsidRPr="002C69BE">
        <w:rPr>
          <w:rFonts w:asciiTheme="majorHAnsi" w:hAnsiTheme="majorHAnsi"/>
          <w:sz w:val="22"/>
          <w:szCs w:val="22"/>
        </w:rPr>
        <w:t>7</w:t>
      </w:r>
      <w:r w:rsidR="00DF5F51" w:rsidRPr="002C69BE">
        <w:rPr>
          <w:rFonts w:asciiTheme="majorHAnsi" w:hAnsiTheme="majorHAnsi"/>
          <w:sz w:val="22"/>
          <w:szCs w:val="22"/>
        </w:rPr>
        <w:t>r.</w:t>
      </w:r>
    </w:p>
    <w:p w14:paraId="0D0D0BEF" w14:textId="77777777" w:rsidR="00DF5F51" w:rsidRPr="002C69BE" w:rsidRDefault="00DF5F51" w:rsidP="000D2D36">
      <w:pPr>
        <w:jc w:val="right"/>
        <w:rPr>
          <w:rFonts w:asciiTheme="majorHAnsi" w:hAnsiTheme="majorHAnsi"/>
          <w:sz w:val="22"/>
          <w:szCs w:val="22"/>
        </w:rPr>
      </w:pPr>
    </w:p>
    <w:p w14:paraId="488F8938" w14:textId="77777777" w:rsidR="00DF5F51" w:rsidRPr="002C69BE" w:rsidRDefault="00DF5F51" w:rsidP="000D2D36">
      <w:pPr>
        <w:jc w:val="right"/>
        <w:rPr>
          <w:rFonts w:asciiTheme="majorHAnsi" w:hAnsiTheme="majorHAnsi"/>
          <w:sz w:val="22"/>
          <w:szCs w:val="22"/>
        </w:rPr>
      </w:pPr>
    </w:p>
    <w:p w14:paraId="4590086E" w14:textId="77777777" w:rsidR="00FD5415" w:rsidRPr="002C69BE" w:rsidRDefault="00FD5415" w:rsidP="000D2D36">
      <w:pPr>
        <w:rPr>
          <w:rFonts w:asciiTheme="majorHAnsi" w:hAnsiTheme="majorHAnsi"/>
          <w:b/>
          <w:noProof/>
          <w:sz w:val="22"/>
          <w:szCs w:val="22"/>
        </w:rPr>
      </w:pPr>
    </w:p>
    <w:p w14:paraId="2CD8190F" w14:textId="32EBCBE2" w:rsidR="00920388" w:rsidRPr="002C69BE" w:rsidRDefault="00FC35CC" w:rsidP="000D2D36">
      <w:pPr>
        <w:rPr>
          <w:rFonts w:asciiTheme="majorHAnsi" w:hAnsiTheme="majorHAnsi"/>
          <w:color w:val="595959"/>
        </w:rPr>
      </w:pPr>
      <w:r w:rsidRPr="002C69BE">
        <w:rPr>
          <w:rFonts w:asciiTheme="majorHAnsi" w:hAnsiTheme="majorHAnsi"/>
          <w:color w:val="595959"/>
        </w:rPr>
        <w:t xml:space="preserve">LUG S.A. </w:t>
      </w:r>
      <w:r w:rsidR="00920388" w:rsidRPr="002C69BE">
        <w:rPr>
          <w:rFonts w:asciiTheme="majorHAnsi" w:hAnsiTheme="majorHAnsi"/>
          <w:color w:val="595959"/>
        </w:rPr>
        <w:t>rekomenduje wypłatę dywidendy i debiut na GPW</w:t>
      </w:r>
    </w:p>
    <w:p w14:paraId="3892B420" w14:textId="3CB9A735" w:rsidR="00D34A58" w:rsidRPr="002C69BE" w:rsidRDefault="00920388" w:rsidP="000D2D36">
      <w:pPr>
        <w:rPr>
          <w:rFonts w:asciiTheme="majorHAnsi" w:hAnsiTheme="majorHAnsi"/>
          <w:color w:val="595959"/>
          <w:sz w:val="28"/>
          <w:szCs w:val="28"/>
        </w:rPr>
      </w:pPr>
      <w:r w:rsidRPr="002C69BE">
        <w:rPr>
          <w:rFonts w:asciiTheme="majorHAnsi" w:hAnsiTheme="majorHAnsi"/>
          <w:b/>
          <w:sz w:val="28"/>
          <w:szCs w:val="28"/>
        </w:rPr>
        <w:t xml:space="preserve">Zarząd </w:t>
      </w:r>
      <w:r w:rsidR="00AB016D" w:rsidRPr="002C69BE">
        <w:rPr>
          <w:rFonts w:asciiTheme="majorHAnsi" w:hAnsiTheme="majorHAnsi"/>
          <w:b/>
          <w:sz w:val="28"/>
          <w:szCs w:val="28"/>
        </w:rPr>
        <w:t>LUG S.A.</w:t>
      </w:r>
      <w:r w:rsidR="00D34A58" w:rsidRPr="002C69BE">
        <w:rPr>
          <w:rFonts w:asciiTheme="majorHAnsi" w:hAnsiTheme="majorHAnsi"/>
          <w:b/>
          <w:sz w:val="28"/>
          <w:szCs w:val="28"/>
        </w:rPr>
        <w:t xml:space="preserve"> </w:t>
      </w:r>
      <w:r w:rsidR="006B5A14" w:rsidRPr="002C69BE">
        <w:rPr>
          <w:rFonts w:asciiTheme="majorHAnsi" w:hAnsiTheme="majorHAnsi"/>
          <w:b/>
          <w:sz w:val="28"/>
          <w:szCs w:val="28"/>
        </w:rPr>
        <w:t>za</w:t>
      </w:r>
      <w:r w:rsidRPr="002C69BE">
        <w:rPr>
          <w:rFonts w:asciiTheme="majorHAnsi" w:hAnsiTheme="majorHAnsi"/>
          <w:b/>
          <w:sz w:val="28"/>
          <w:szCs w:val="28"/>
        </w:rPr>
        <w:t xml:space="preserve">rekomendował Walnemu Zgromadzeniu wypłatę dywidendy </w:t>
      </w:r>
      <w:r w:rsidR="001003E4" w:rsidRPr="002C69BE">
        <w:rPr>
          <w:rFonts w:asciiTheme="majorHAnsi" w:hAnsiTheme="majorHAnsi"/>
          <w:b/>
          <w:sz w:val="28"/>
          <w:szCs w:val="28"/>
        </w:rPr>
        <w:br/>
      </w:r>
      <w:r w:rsidRPr="002C69BE">
        <w:rPr>
          <w:rFonts w:asciiTheme="majorHAnsi" w:hAnsiTheme="majorHAnsi"/>
          <w:b/>
          <w:sz w:val="28"/>
          <w:szCs w:val="28"/>
        </w:rPr>
        <w:t>i przeniesienie notowań na rynek regulowany</w:t>
      </w:r>
      <w:r w:rsidR="001003E4" w:rsidRPr="002C69BE">
        <w:rPr>
          <w:rFonts w:asciiTheme="majorHAnsi" w:hAnsiTheme="majorHAnsi"/>
          <w:b/>
          <w:sz w:val="28"/>
          <w:szCs w:val="28"/>
        </w:rPr>
        <w:t xml:space="preserve"> Giełdy Papierów Wartościowych </w:t>
      </w:r>
      <w:r w:rsidR="001003E4" w:rsidRPr="002C69BE">
        <w:rPr>
          <w:rFonts w:asciiTheme="majorHAnsi" w:hAnsiTheme="majorHAnsi"/>
          <w:b/>
          <w:sz w:val="28"/>
          <w:szCs w:val="28"/>
        </w:rPr>
        <w:br/>
        <w:t>w Warszawie</w:t>
      </w:r>
    </w:p>
    <w:p w14:paraId="6F14F1B6" w14:textId="77777777" w:rsidR="00807D37" w:rsidRPr="002C69BE" w:rsidRDefault="00807D37" w:rsidP="000D2D36">
      <w:pPr>
        <w:rPr>
          <w:rFonts w:asciiTheme="majorHAnsi" w:hAnsiTheme="majorHAnsi"/>
          <w:b/>
          <w:noProof/>
          <w:sz w:val="22"/>
          <w:szCs w:val="22"/>
        </w:rPr>
      </w:pPr>
    </w:p>
    <w:p w14:paraId="4E4C292F" w14:textId="7F97197F" w:rsidR="00920388" w:rsidRPr="002C69BE" w:rsidRDefault="0013693C" w:rsidP="000D2D3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</w:rPr>
      </w:pPr>
      <w:r w:rsidRPr="002C69BE">
        <w:rPr>
          <w:rFonts w:asciiTheme="majorHAnsi" w:hAnsiTheme="majorHAnsi" w:cs="Arial"/>
          <w:b/>
          <w:bCs/>
        </w:rPr>
        <w:t>1</w:t>
      </w:r>
      <w:r w:rsidR="00FC5E5D" w:rsidRPr="002C69BE">
        <w:rPr>
          <w:rFonts w:asciiTheme="majorHAnsi" w:hAnsiTheme="majorHAnsi" w:cs="Arial"/>
          <w:b/>
          <w:bCs/>
        </w:rPr>
        <w:t xml:space="preserve"> 007 799,80 tys.</w:t>
      </w:r>
      <w:r w:rsidR="00534D10" w:rsidRPr="002C69BE">
        <w:rPr>
          <w:rFonts w:asciiTheme="majorHAnsi" w:hAnsiTheme="majorHAnsi" w:cs="Arial"/>
          <w:b/>
          <w:bCs/>
        </w:rPr>
        <w:t xml:space="preserve"> zł, </w:t>
      </w:r>
      <w:r w:rsidR="00FC5E5D" w:rsidRPr="002C69BE">
        <w:rPr>
          <w:rFonts w:asciiTheme="majorHAnsi" w:hAnsiTheme="majorHAnsi" w:cs="Arial"/>
          <w:b/>
          <w:bCs/>
        </w:rPr>
        <w:t xml:space="preserve">czyli 0,14 zł </w:t>
      </w:r>
      <w:r w:rsidR="00534D10" w:rsidRPr="002C69BE">
        <w:rPr>
          <w:rFonts w:asciiTheme="majorHAnsi" w:hAnsiTheme="majorHAnsi" w:cs="Arial"/>
          <w:b/>
          <w:bCs/>
        </w:rPr>
        <w:t>za akcję, po akceptacji ZWZ wypłaci akcjonariuszom LUG S.A.</w:t>
      </w:r>
    </w:p>
    <w:p w14:paraId="2E4D5508" w14:textId="627CA2DA" w:rsidR="00920388" w:rsidRPr="002C69BE" w:rsidRDefault="00544A8E" w:rsidP="000D2D36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 w:cs="Arial"/>
          <w:b/>
        </w:rPr>
      </w:pPr>
      <w:r w:rsidRPr="002C69BE">
        <w:rPr>
          <w:rFonts w:asciiTheme="majorHAnsi" w:hAnsiTheme="majorHAnsi" w:cs="Arial"/>
          <w:b/>
          <w:bCs/>
        </w:rPr>
        <w:t>Spółka</w:t>
      </w:r>
      <w:r w:rsidR="00DA210E" w:rsidRPr="002C69BE">
        <w:rPr>
          <w:rFonts w:asciiTheme="majorHAnsi" w:hAnsiTheme="majorHAnsi" w:cs="Arial"/>
          <w:b/>
          <w:bCs/>
        </w:rPr>
        <w:t>,</w:t>
      </w:r>
      <w:r w:rsidRPr="002C69BE">
        <w:rPr>
          <w:rFonts w:asciiTheme="majorHAnsi" w:hAnsiTheme="majorHAnsi" w:cs="Arial"/>
          <w:b/>
          <w:bCs/>
        </w:rPr>
        <w:t xml:space="preserve"> po rekordowych</w:t>
      </w:r>
      <w:r w:rsidR="00920388" w:rsidRPr="002C69BE">
        <w:rPr>
          <w:rFonts w:asciiTheme="majorHAnsi" w:hAnsiTheme="majorHAnsi" w:cs="Arial"/>
          <w:b/>
          <w:bCs/>
        </w:rPr>
        <w:t xml:space="preserve"> </w:t>
      </w:r>
      <w:r w:rsidR="006B5A14" w:rsidRPr="002C69BE">
        <w:rPr>
          <w:rFonts w:asciiTheme="majorHAnsi" w:hAnsiTheme="majorHAnsi" w:cs="Arial"/>
          <w:b/>
          <w:bCs/>
        </w:rPr>
        <w:t xml:space="preserve">przychodach </w:t>
      </w:r>
      <w:r w:rsidR="00534D10" w:rsidRPr="002C69BE">
        <w:rPr>
          <w:rFonts w:asciiTheme="majorHAnsi" w:hAnsiTheme="majorHAnsi" w:cs="Arial"/>
          <w:b/>
          <w:bCs/>
        </w:rPr>
        <w:t>roku</w:t>
      </w:r>
      <w:r w:rsidR="00920388" w:rsidRPr="002C69BE">
        <w:rPr>
          <w:rFonts w:asciiTheme="majorHAnsi" w:hAnsiTheme="majorHAnsi" w:cs="Arial"/>
          <w:b/>
          <w:bCs/>
        </w:rPr>
        <w:t xml:space="preserve"> </w:t>
      </w:r>
      <w:r w:rsidR="00534D10" w:rsidRPr="002C69BE">
        <w:rPr>
          <w:rFonts w:asciiTheme="majorHAnsi" w:hAnsiTheme="majorHAnsi" w:cs="Arial"/>
          <w:b/>
          <w:bCs/>
        </w:rPr>
        <w:t xml:space="preserve">2016 r. i </w:t>
      </w:r>
      <w:proofErr w:type="spellStart"/>
      <w:r w:rsidR="00534D10" w:rsidRPr="002C69BE">
        <w:rPr>
          <w:rFonts w:asciiTheme="majorHAnsi" w:hAnsiTheme="majorHAnsi" w:cs="Arial"/>
          <w:b/>
          <w:bCs/>
        </w:rPr>
        <w:t>I</w:t>
      </w:r>
      <w:proofErr w:type="spellEnd"/>
      <w:r w:rsidR="00534D10" w:rsidRPr="002C69BE">
        <w:rPr>
          <w:rFonts w:asciiTheme="majorHAnsi" w:hAnsiTheme="majorHAnsi" w:cs="Arial"/>
          <w:b/>
          <w:bCs/>
        </w:rPr>
        <w:t xml:space="preserve"> kw. 201</w:t>
      </w:r>
      <w:r w:rsidR="00BB2F52">
        <w:rPr>
          <w:rFonts w:asciiTheme="majorHAnsi" w:hAnsiTheme="majorHAnsi" w:cs="Arial"/>
          <w:b/>
          <w:bCs/>
        </w:rPr>
        <w:t>7</w:t>
      </w:r>
      <w:r w:rsidR="00534D10" w:rsidRPr="002C69BE">
        <w:rPr>
          <w:rFonts w:asciiTheme="majorHAnsi" w:hAnsiTheme="majorHAnsi" w:cs="Arial"/>
          <w:b/>
          <w:bCs/>
        </w:rPr>
        <w:t>,</w:t>
      </w:r>
      <w:r w:rsidR="00920388" w:rsidRPr="002C69BE">
        <w:rPr>
          <w:rFonts w:asciiTheme="majorHAnsi" w:hAnsiTheme="majorHAnsi" w:cs="Arial"/>
          <w:b/>
          <w:bCs/>
        </w:rPr>
        <w:t xml:space="preserve"> zamierza przenieść notowania swoich akcji na rynek regulowany </w:t>
      </w:r>
      <w:r w:rsidR="00534D10" w:rsidRPr="002C69BE">
        <w:rPr>
          <w:rFonts w:asciiTheme="majorHAnsi" w:hAnsiTheme="majorHAnsi" w:cs="Arial"/>
          <w:b/>
          <w:bCs/>
        </w:rPr>
        <w:t>GPW w Warszawie. Akcjonariusze s</w:t>
      </w:r>
      <w:r w:rsidR="00920388" w:rsidRPr="002C69BE">
        <w:rPr>
          <w:rFonts w:asciiTheme="majorHAnsi" w:hAnsiTheme="majorHAnsi" w:cs="Arial"/>
          <w:b/>
          <w:bCs/>
        </w:rPr>
        <w:t>półki zadecydują</w:t>
      </w:r>
      <w:r w:rsidRPr="002C69BE">
        <w:rPr>
          <w:rFonts w:asciiTheme="majorHAnsi" w:hAnsiTheme="majorHAnsi" w:cs="Arial"/>
          <w:b/>
          <w:bCs/>
        </w:rPr>
        <w:t xml:space="preserve"> o tym podczas najbliższego Walnego Zgromadzenia</w:t>
      </w:r>
      <w:r w:rsidR="00920388" w:rsidRPr="002C69BE">
        <w:rPr>
          <w:rFonts w:asciiTheme="majorHAnsi" w:hAnsiTheme="majorHAnsi" w:cs="Arial"/>
          <w:b/>
          <w:bCs/>
        </w:rPr>
        <w:t xml:space="preserve"> </w:t>
      </w:r>
      <w:r w:rsidR="006B5A14" w:rsidRPr="002C69BE">
        <w:rPr>
          <w:rFonts w:asciiTheme="majorHAnsi" w:hAnsiTheme="majorHAnsi" w:cs="Arial"/>
          <w:b/>
          <w:bCs/>
        </w:rPr>
        <w:t>w czerwcu</w:t>
      </w:r>
    </w:p>
    <w:p w14:paraId="725CE496" w14:textId="77777777" w:rsidR="00920388" w:rsidRPr="002C69BE" w:rsidRDefault="00920388" w:rsidP="000D2D36">
      <w:pPr>
        <w:pStyle w:val="Akapitzlist"/>
        <w:spacing w:line="240" w:lineRule="auto"/>
        <w:rPr>
          <w:rFonts w:asciiTheme="majorHAnsi" w:hAnsiTheme="majorHAnsi" w:cs="Arial"/>
          <w:b/>
        </w:rPr>
      </w:pPr>
    </w:p>
    <w:p w14:paraId="1258306A" w14:textId="37754368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sz w:val="22"/>
          <w:szCs w:val="22"/>
        </w:rPr>
      </w:pPr>
      <w:r w:rsidRPr="002C69BE">
        <w:rPr>
          <w:rFonts w:asciiTheme="majorHAnsi" w:hAnsiTheme="majorHAnsi" w:cs="Helvetica"/>
          <w:b/>
          <w:bCs/>
          <w:sz w:val="22"/>
          <w:szCs w:val="22"/>
        </w:rPr>
        <w:t>Podjęcie uchwały w sprawie ubiegania się o dop</w:t>
      </w:r>
      <w:r w:rsidR="00534D10" w:rsidRPr="002C69BE">
        <w:rPr>
          <w:rFonts w:asciiTheme="majorHAnsi" w:hAnsiTheme="majorHAnsi" w:cs="Helvetica"/>
          <w:b/>
          <w:bCs/>
          <w:sz w:val="22"/>
          <w:szCs w:val="22"/>
        </w:rPr>
        <w:t xml:space="preserve">uszczenie i wprowadzenie akcji </w:t>
      </w:r>
      <w:r w:rsidR="005C7981" w:rsidRPr="002C69BE">
        <w:rPr>
          <w:rFonts w:asciiTheme="majorHAnsi" w:hAnsiTheme="majorHAnsi" w:cs="Calibri"/>
          <w:b/>
          <w:bCs/>
          <w:sz w:val="22"/>
          <w:szCs w:val="22"/>
        </w:rPr>
        <w:t>serii A, B i C</w:t>
      </w:r>
      <w:r w:rsidR="005C7981" w:rsidRPr="002C69BE">
        <w:rPr>
          <w:rFonts w:asciiTheme="majorHAnsi" w:hAnsiTheme="majorHAnsi" w:cs="Calibri"/>
          <w:sz w:val="22"/>
          <w:szCs w:val="22"/>
        </w:rPr>
        <w:t xml:space="preserve"> </w:t>
      </w:r>
      <w:r w:rsidR="00534D10" w:rsidRPr="002C69BE">
        <w:rPr>
          <w:rFonts w:asciiTheme="majorHAnsi" w:hAnsiTheme="majorHAnsi" w:cs="Helvetica"/>
          <w:b/>
          <w:bCs/>
          <w:sz w:val="22"/>
          <w:szCs w:val="22"/>
        </w:rPr>
        <w:t>s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t xml:space="preserve">półki LUG S.A do obrotu na GPW </w:t>
      </w:r>
      <w:r w:rsidRPr="002C69BE">
        <w:rPr>
          <w:rFonts w:asciiTheme="majorHAnsi" w:hAnsiTheme="majorHAnsi" w:cs="Calibri"/>
          <w:b/>
          <w:bCs/>
          <w:sz w:val="22"/>
          <w:szCs w:val="22"/>
        </w:rPr>
        <w:t>w Wars</w:t>
      </w:r>
      <w:r w:rsidR="005C7981" w:rsidRPr="002C69BE">
        <w:rPr>
          <w:rFonts w:asciiTheme="majorHAnsi" w:hAnsiTheme="majorHAnsi" w:cs="Calibri"/>
          <w:b/>
          <w:bCs/>
          <w:sz w:val="22"/>
          <w:szCs w:val="22"/>
        </w:rPr>
        <w:t xml:space="preserve">zawie S.A. 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t>oraz wypł</w:t>
      </w:r>
      <w:r w:rsidRPr="002C69BE">
        <w:rPr>
          <w:rFonts w:asciiTheme="majorHAnsi" w:hAnsiTheme="majorHAnsi" w:cs="Calibri"/>
          <w:b/>
          <w:bCs/>
          <w:sz w:val="22"/>
          <w:szCs w:val="22"/>
        </w:rPr>
        <w:t>ata dywidendy dla akcjonariuszy</w:t>
      </w:r>
      <w:r w:rsidR="005C7981" w:rsidRPr="002C69BE">
        <w:rPr>
          <w:rFonts w:asciiTheme="majorHAnsi" w:hAnsiTheme="majorHAnsi" w:cs="Calibri"/>
          <w:b/>
          <w:bCs/>
          <w:sz w:val="22"/>
          <w:szCs w:val="22"/>
        </w:rPr>
        <w:t>,</w:t>
      </w:r>
      <w:r w:rsidRPr="002C69BE">
        <w:rPr>
          <w:rFonts w:asciiTheme="majorHAnsi" w:hAnsiTheme="majorHAnsi" w:cs="Calibri"/>
          <w:b/>
          <w:bCs/>
          <w:sz w:val="22"/>
          <w:szCs w:val="22"/>
        </w:rPr>
        <w:t xml:space="preserve"> to strate</w:t>
      </w:r>
      <w:r w:rsidR="005C7981" w:rsidRPr="002C69BE">
        <w:rPr>
          <w:rFonts w:asciiTheme="majorHAnsi" w:hAnsiTheme="majorHAnsi" w:cs="Helvetica"/>
          <w:b/>
          <w:bCs/>
          <w:sz w:val="22"/>
          <w:szCs w:val="22"/>
        </w:rPr>
        <w:t xml:space="preserve">giczne decyzje, jakie zapadną </w:t>
      </w:r>
      <w:r w:rsidR="006B5A14" w:rsidRPr="002C69BE">
        <w:rPr>
          <w:rFonts w:asciiTheme="majorHAnsi" w:hAnsiTheme="majorHAnsi" w:cs="Calibri"/>
          <w:b/>
          <w:bCs/>
          <w:sz w:val="22"/>
          <w:szCs w:val="22"/>
        </w:rPr>
        <w:t>w czerwcu</w:t>
      </w:r>
      <w:r w:rsidR="00534D10" w:rsidRPr="002C69BE">
        <w:rPr>
          <w:rFonts w:asciiTheme="majorHAnsi" w:hAnsiTheme="majorHAnsi" w:cs="Calibri"/>
          <w:b/>
          <w:bCs/>
          <w:sz w:val="22"/>
          <w:szCs w:val="22"/>
        </w:rPr>
        <w:t xml:space="preserve"> podczas Walnego </w:t>
      </w:r>
      <w:r w:rsidRPr="002C69BE">
        <w:rPr>
          <w:rFonts w:asciiTheme="majorHAnsi" w:hAnsiTheme="majorHAnsi" w:cs="Calibri"/>
          <w:b/>
          <w:bCs/>
          <w:sz w:val="22"/>
          <w:szCs w:val="22"/>
        </w:rPr>
        <w:t>Zgromadzenia  Akcjonariuszy</w:t>
      </w:r>
      <w:r w:rsidR="00DA210E" w:rsidRPr="002C69BE">
        <w:rPr>
          <w:rFonts w:asciiTheme="majorHAnsi" w:hAnsiTheme="majorHAnsi" w:cs="Helvetica"/>
          <w:b/>
          <w:bCs/>
          <w:sz w:val="22"/>
          <w:szCs w:val="22"/>
        </w:rPr>
        <w:t xml:space="preserve">. </w:t>
      </w:r>
      <w:r w:rsidR="002C69BE">
        <w:rPr>
          <w:rFonts w:asciiTheme="majorHAnsi" w:hAnsiTheme="majorHAnsi" w:cs="Helvetica"/>
          <w:b/>
          <w:bCs/>
          <w:sz w:val="22"/>
          <w:szCs w:val="22"/>
        </w:rPr>
        <w:br/>
      </w:r>
      <w:r w:rsidR="00DA210E" w:rsidRPr="002C69BE">
        <w:rPr>
          <w:rFonts w:asciiTheme="majorHAnsi" w:hAnsiTheme="majorHAnsi" w:cs="Helvetica"/>
          <w:b/>
          <w:bCs/>
          <w:sz w:val="22"/>
          <w:szCs w:val="22"/>
        </w:rPr>
        <w:t>Jeśli z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t>arząd spółk</w:t>
      </w:r>
      <w:r w:rsidR="005C7981" w:rsidRPr="002C69BE">
        <w:rPr>
          <w:rFonts w:asciiTheme="majorHAnsi" w:hAnsiTheme="majorHAnsi" w:cs="Helvetica"/>
          <w:b/>
          <w:bCs/>
          <w:sz w:val="22"/>
          <w:szCs w:val="22"/>
        </w:rPr>
        <w:t>i otrzyma pozytywne rekomendacje,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t xml:space="preserve"> wypłata dywidendy nastąpi 21 września br. </w:t>
      </w:r>
      <w:r w:rsidR="006B5A14" w:rsidRPr="002C69BE">
        <w:rPr>
          <w:rFonts w:asciiTheme="majorHAnsi" w:hAnsiTheme="majorHAnsi" w:cs="Helvetica"/>
          <w:b/>
          <w:bCs/>
          <w:sz w:val="22"/>
          <w:szCs w:val="22"/>
        </w:rPr>
        <w:t>Niezwłocznie r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t>uszą też prace związane z przejściem na rynek regulowany i debiutem na głównym parkiecie. Harmonogram prac i debiut uzależn</w:t>
      </w:r>
      <w:r w:rsidR="005C7981" w:rsidRPr="002C69BE">
        <w:rPr>
          <w:rFonts w:asciiTheme="majorHAnsi" w:hAnsiTheme="majorHAnsi" w:cs="Calibri"/>
          <w:b/>
          <w:bCs/>
          <w:sz w:val="22"/>
          <w:szCs w:val="22"/>
        </w:rPr>
        <w:t>ione są</w:t>
      </w:r>
      <w:r w:rsidRPr="002C69BE">
        <w:rPr>
          <w:rFonts w:asciiTheme="majorHAnsi" w:hAnsiTheme="majorHAnsi" w:cs="Calibri"/>
          <w:b/>
          <w:bCs/>
          <w:sz w:val="22"/>
          <w:szCs w:val="22"/>
        </w:rPr>
        <w:t xml:space="preserve"> od warunków</w:t>
      </w:r>
      <w:r w:rsidR="002C69BE" w:rsidRPr="002C69BE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2C69BE">
        <w:rPr>
          <w:rFonts w:asciiTheme="majorHAnsi" w:hAnsiTheme="majorHAnsi" w:cs="Calibri"/>
          <w:b/>
          <w:bCs/>
          <w:sz w:val="22"/>
          <w:szCs w:val="22"/>
        </w:rPr>
        <w:t>rynkowych.   </w:t>
      </w:r>
    </w:p>
    <w:p w14:paraId="0831E5C3" w14:textId="77777777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sz w:val="22"/>
          <w:szCs w:val="22"/>
        </w:rPr>
      </w:pPr>
    </w:p>
    <w:p w14:paraId="0B5E7844" w14:textId="2622DE17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Calibri"/>
          <w:b/>
          <w:sz w:val="22"/>
          <w:szCs w:val="22"/>
        </w:rPr>
      </w:pPr>
      <w:r w:rsidRPr="002C69BE">
        <w:rPr>
          <w:rFonts w:asciiTheme="majorHAnsi" w:hAnsiTheme="majorHAnsi" w:cs="Calibri"/>
          <w:b/>
          <w:sz w:val="22"/>
          <w:szCs w:val="22"/>
        </w:rPr>
        <w:t>Polska firma rodzinna – globalna marka</w:t>
      </w:r>
    </w:p>
    <w:p w14:paraId="42388C83" w14:textId="77777777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</w:p>
    <w:p w14:paraId="657B21D5" w14:textId="307F7039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Calibri"/>
          <w:sz w:val="22"/>
          <w:szCs w:val="22"/>
        </w:rPr>
      </w:pPr>
      <w:r w:rsidRPr="002C69BE">
        <w:rPr>
          <w:rFonts w:asciiTheme="majorHAnsi" w:hAnsiTheme="majorHAnsi" w:cs="Calibri"/>
          <w:sz w:val="22"/>
          <w:szCs w:val="22"/>
        </w:rPr>
        <w:t>LUG S.A</w:t>
      </w:r>
      <w:r w:rsidR="005C7981" w:rsidRPr="002C69BE">
        <w:rPr>
          <w:rFonts w:asciiTheme="majorHAnsi" w:hAnsiTheme="majorHAnsi" w:cs="Calibri"/>
          <w:sz w:val="22"/>
          <w:szCs w:val="22"/>
        </w:rPr>
        <w:t>.,</w:t>
      </w:r>
      <w:r w:rsidRPr="002C69BE">
        <w:rPr>
          <w:rFonts w:asciiTheme="majorHAnsi" w:hAnsiTheme="majorHAnsi" w:cs="Calibri"/>
          <w:sz w:val="22"/>
          <w:szCs w:val="22"/>
        </w:rPr>
        <w:t xml:space="preserve"> </w:t>
      </w:r>
      <w:r w:rsidRPr="002C69BE">
        <w:rPr>
          <w:rFonts w:asciiTheme="majorHAnsi" w:hAnsiTheme="majorHAnsi" w:cs="Helvetica"/>
          <w:sz w:val="22"/>
          <w:szCs w:val="22"/>
        </w:rPr>
        <w:t xml:space="preserve">to polska firma rodzina założona w </w:t>
      </w:r>
      <w:r w:rsidR="005C7981" w:rsidRPr="002C69BE">
        <w:rPr>
          <w:rFonts w:asciiTheme="majorHAnsi" w:hAnsiTheme="majorHAnsi" w:cs="Helvetica"/>
          <w:sz w:val="22"/>
          <w:szCs w:val="22"/>
        </w:rPr>
        <w:t xml:space="preserve">roku </w:t>
      </w:r>
      <w:r w:rsidRPr="002C69BE">
        <w:rPr>
          <w:rFonts w:asciiTheme="majorHAnsi" w:hAnsiTheme="majorHAnsi" w:cs="Helvetica"/>
          <w:sz w:val="22"/>
          <w:szCs w:val="22"/>
        </w:rPr>
        <w:t>1989.</w:t>
      </w:r>
      <w:r w:rsidRPr="002C69BE">
        <w:rPr>
          <w:rFonts w:asciiTheme="majorHAnsi" w:hAnsiTheme="majorHAnsi" w:cs="Calibri"/>
          <w:sz w:val="22"/>
          <w:szCs w:val="22"/>
        </w:rPr>
        <w:t xml:space="preserve"> </w:t>
      </w:r>
      <w:r w:rsidRPr="002C69BE">
        <w:rPr>
          <w:rFonts w:asciiTheme="majorHAnsi" w:hAnsiTheme="majorHAnsi" w:cs="Helvetica"/>
          <w:sz w:val="22"/>
          <w:szCs w:val="22"/>
        </w:rPr>
        <w:t>Dziś</w:t>
      </w:r>
      <w:r w:rsidR="005C7981" w:rsidRPr="002C69BE">
        <w:rPr>
          <w:rFonts w:asciiTheme="majorHAnsi" w:hAnsiTheme="majorHAnsi" w:cs="Helvetica"/>
          <w:sz w:val="22"/>
          <w:szCs w:val="22"/>
        </w:rPr>
        <w:t>,</w:t>
      </w:r>
      <w:r w:rsidRPr="002C69BE">
        <w:rPr>
          <w:rFonts w:asciiTheme="majorHAnsi" w:hAnsiTheme="majorHAnsi" w:cs="Helvetica"/>
          <w:sz w:val="22"/>
          <w:szCs w:val="22"/>
        </w:rPr>
        <w:t xml:space="preserve"> Grupa Kapitałowa LUG</w:t>
      </w:r>
      <w:r w:rsidR="006B5A14" w:rsidRPr="002C69BE">
        <w:rPr>
          <w:rFonts w:asciiTheme="majorHAnsi" w:hAnsiTheme="majorHAnsi" w:cs="Helvetica"/>
          <w:sz w:val="22"/>
          <w:szCs w:val="22"/>
        </w:rPr>
        <w:t xml:space="preserve"> S.A.</w:t>
      </w:r>
      <w:r w:rsidRPr="002C69BE">
        <w:rPr>
          <w:rFonts w:asciiTheme="majorHAnsi" w:hAnsiTheme="majorHAnsi" w:cs="Helvetica"/>
          <w:sz w:val="22"/>
          <w:szCs w:val="22"/>
        </w:rPr>
        <w:t xml:space="preserve"> to </w:t>
      </w:r>
      <w:r w:rsidRPr="002C69BE">
        <w:rPr>
          <w:rFonts w:asciiTheme="majorHAnsi" w:hAnsiTheme="majorHAnsi" w:cs="Calibri"/>
          <w:sz w:val="22"/>
          <w:szCs w:val="22"/>
        </w:rPr>
        <w:t xml:space="preserve"> globalna marka obecna na 68 rynk</w:t>
      </w:r>
      <w:r w:rsidR="005C7981" w:rsidRPr="002C69BE">
        <w:rPr>
          <w:rFonts w:asciiTheme="majorHAnsi" w:hAnsiTheme="majorHAnsi" w:cs="Helvetica"/>
          <w:sz w:val="22"/>
          <w:szCs w:val="22"/>
        </w:rPr>
        <w:t>ach świata, jeden</w:t>
      </w:r>
      <w:r w:rsidR="005C7981" w:rsidRPr="002C69BE">
        <w:rPr>
          <w:rFonts w:asciiTheme="majorHAnsi" w:hAnsiTheme="majorHAnsi" w:cs="Calibri"/>
          <w:sz w:val="22"/>
          <w:szCs w:val="22"/>
        </w:rPr>
        <w:t xml:space="preserve"> </w:t>
      </w:r>
      <w:r w:rsidR="005C7981" w:rsidRPr="002C69BE">
        <w:rPr>
          <w:rFonts w:asciiTheme="majorHAnsi" w:hAnsiTheme="majorHAnsi" w:cs="Helvetica"/>
          <w:sz w:val="22"/>
          <w:szCs w:val="22"/>
        </w:rPr>
        <w:t xml:space="preserve">z czołowych europejskich producentów profesjonalnych rozwiązań oświetleniowych. </w:t>
      </w:r>
      <w:r w:rsidRPr="002C69BE">
        <w:rPr>
          <w:rFonts w:asciiTheme="majorHAnsi" w:hAnsiTheme="majorHAnsi" w:cs="Helvetica"/>
          <w:sz w:val="22"/>
          <w:szCs w:val="22"/>
        </w:rPr>
        <w:t>Grupa realizuje projekty oświetleniowe na każdym etapie inwestycji</w:t>
      </w:r>
      <w:r w:rsidR="005C7981" w:rsidRPr="002C69BE">
        <w:rPr>
          <w:rFonts w:asciiTheme="majorHAnsi" w:hAnsiTheme="majorHAnsi" w:cs="Helvetica"/>
          <w:sz w:val="22"/>
          <w:szCs w:val="22"/>
        </w:rPr>
        <w:t>,</w:t>
      </w:r>
      <w:r w:rsidRPr="002C69BE">
        <w:rPr>
          <w:rFonts w:asciiTheme="majorHAnsi" w:hAnsiTheme="majorHAnsi" w:cs="Helvetica"/>
          <w:sz w:val="22"/>
          <w:szCs w:val="22"/>
        </w:rPr>
        <w:t xml:space="preserve"> od współpracy z architektem i urbanistą, przez realizację jego wizji w procesie wykonawczym, po zrównoważone zarządzanie sy</w:t>
      </w:r>
      <w:r w:rsidR="005C7981" w:rsidRPr="002C69BE">
        <w:rPr>
          <w:rFonts w:asciiTheme="majorHAnsi" w:hAnsiTheme="majorHAnsi" w:cs="Helvetica"/>
          <w:sz w:val="22"/>
          <w:szCs w:val="22"/>
        </w:rPr>
        <w:t>stemem oświetleniowym. Blisko dziesięć</w:t>
      </w:r>
      <w:r w:rsidRPr="002C69BE">
        <w:rPr>
          <w:rFonts w:asciiTheme="majorHAnsi" w:hAnsiTheme="majorHAnsi" w:cs="Helvetica"/>
          <w:sz w:val="22"/>
          <w:szCs w:val="22"/>
        </w:rPr>
        <w:t xml:space="preserve"> lat temu spółka zadebiutowała na rynku akcji New Connect. </w:t>
      </w:r>
    </w:p>
    <w:p w14:paraId="3FCDD507" w14:textId="77777777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7F1ABF1F" w14:textId="734B2C12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r w:rsidRPr="002C69BE">
        <w:rPr>
          <w:rFonts w:asciiTheme="majorHAnsi" w:hAnsiTheme="majorHAnsi" w:cs="Helvetica"/>
          <w:i/>
          <w:iCs/>
          <w:sz w:val="22"/>
          <w:szCs w:val="22"/>
        </w:rPr>
        <w:t>- Jesteśmy związani z rynkiem akcji New Connect od samego początku</w:t>
      </w:r>
      <w:r w:rsidR="005C7981" w:rsidRPr="002C69BE">
        <w:rPr>
          <w:rFonts w:asciiTheme="majorHAnsi" w:hAnsiTheme="majorHAnsi" w:cs="Helvetica"/>
          <w:i/>
          <w:iCs/>
          <w:sz w:val="22"/>
          <w:szCs w:val="22"/>
        </w:rPr>
        <w:t>, tj. od roku 2007. P</w:t>
      </w:r>
      <w:r w:rsidRPr="002C69BE">
        <w:rPr>
          <w:rFonts w:asciiTheme="majorHAnsi" w:hAnsiTheme="majorHAnsi" w:cs="Helvetica"/>
          <w:i/>
          <w:iCs/>
          <w:sz w:val="22"/>
          <w:szCs w:val="22"/>
        </w:rPr>
        <w:t>o dekadzie obecności na rynku kapitałowym mogę śmiało powiedzieć, że nauczyliśmy się efektywnie</w:t>
      </w:r>
      <w:r w:rsidR="005C7981" w:rsidRPr="002C69BE">
        <w:rPr>
          <w:rFonts w:asciiTheme="majorHAnsi" w:hAnsiTheme="majorHAnsi" w:cs="Helvetica"/>
          <w:i/>
          <w:iCs/>
          <w:sz w:val="22"/>
          <w:szCs w:val="22"/>
        </w:rPr>
        <w:t xml:space="preserve"> na nim funkcjonować</w:t>
      </w:r>
      <w:r w:rsidRPr="002C69BE">
        <w:rPr>
          <w:rFonts w:asciiTheme="majorHAnsi" w:hAnsiTheme="majorHAnsi" w:cs="Helvetica"/>
          <w:i/>
          <w:iCs/>
          <w:sz w:val="22"/>
          <w:szCs w:val="22"/>
        </w:rPr>
        <w:t>. Przejście na rynek regulowany</w:t>
      </w:r>
      <w:r w:rsidR="005C7981" w:rsidRPr="002C69BE">
        <w:rPr>
          <w:rFonts w:asciiTheme="majorHAnsi" w:hAnsiTheme="majorHAnsi" w:cs="Helvetica"/>
          <w:i/>
          <w:iCs/>
          <w:sz w:val="22"/>
          <w:szCs w:val="22"/>
        </w:rPr>
        <w:t>,</w:t>
      </w:r>
      <w:r w:rsidRPr="002C69BE">
        <w:rPr>
          <w:rFonts w:asciiTheme="majorHAnsi" w:hAnsiTheme="majorHAnsi" w:cs="Helvetica"/>
          <w:i/>
          <w:iCs/>
          <w:sz w:val="22"/>
          <w:szCs w:val="22"/>
        </w:rPr>
        <w:t xml:space="preserve"> to dla nas kolejny etap w ro</w:t>
      </w:r>
      <w:r w:rsidRPr="002C69BE">
        <w:rPr>
          <w:rFonts w:asciiTheme="majorHAnsi" w:hAnsiTheme="majorHAnsi" w:cs="Helvetica"/>
          <w:i/>
          <w:sz w:val="22"/>
          <w:szCs w:val="22"/>
        </w:rPr>
        <w:t>zwoju spółki.</w:t>
      </w:r>
      <w:r w:rsidRPr="002C69BE">
        <w:rPr>
          <w:rFonts w:asciiTheme="majorHAnsi" w:hAnsiTheme="majorHAnsi" w:cs="Calibri"/>
          <w:i/>
          <w:sz w:val="22"/>
          <w:szCs w:val="22"/>
        </w:rPr>
        <w:t>– </w:t>
      </w:r>
      <w:r w:rsidRPr="002C69BE">
        <w:rPr>
          <w:rFonts w:asciiTheme="majorHAnsi" w:hAnsiTheme="majorHAnsi" w:cs="Helvetica"/>
          <w:sz w:val="22"/>
          <w:szCs w:val="22"/>
        </w:rPr>
        <w:t>tłumaczy</w:t>
      </w:r>
      <w:r w:rsidRPr="002C69BE">
        <w:rPr>
          <w:rFonts w:asciiTheme="majorHAnsi" w:hAnsiTheme="majorHAnsi" w:cs="Calibri"/>
          <w:sz w:val="22"/>
          <w:szCs w:val="22"/>
        </w:rPr>
        <w:t xml:space="preserve"> Ryszard </w:t>
      </w:r>
      <w:proofErr w:type="spellStart"/>
      <w:r w:rsidRPr="002C69BE">
        <w:rPr>
          <w:rFonts w:asciiTheme="majorHAnsi" w:hAnsiTheme="majorHAnsi" w:cs="Calibri"/>
          <w:sz w:val="22"/>
          <w:szCs w:val="22"/>
        </w:rPr>
        <w:t>Wtorkowski</w:t>
      </w:r>
      <w:proofErr w:type="spellEnd"/>
      <w:r w:rsidRPr="002C69BE">
        <w:rPr>
          <w:rFonts w:asciiTheme="majorHAnsi" w:hAnsiTheme="majorHAnsi" w:cs="Calibri"/>
          <w:sz w:val="22"/>
          <w:szCs w:val="22"/>
        </w:rPr>
        <w:t>, Prezes</w:t>
      </w:r>
      <w:r w:rsidRPr="002C69BE">
        <w:rPr>
          <w:rFonts w:asciiTheme="majorHAnsi" w:hAnsiTheme="majorHAnsi" w:cs="Helvetica"/>
          <w:sz w:val="22"/>
          <w:szCs w:val="22"/>
        </w:rPr>
        <w:t xml:space="preserve"> Zarządu LUG S.A.</w:t>
      </w:r>
    </w:p>
    <w:p w14:paraId="22AEEED3" w14:textId="77777777" w:rsidR="001003E4" w:rsidRPr="002C69BE" w:rsidRDefault="001003E4" w:rsidP="002C69BE">
      <w:pPr>
        <w:pStyle w:val="Akapitzlist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Helvetica"/>
          <w:i/>
          <w:iCs/>
        </w:rPr>
      </w:pPr>
    </w:p>
    <w:p w14:paraId="2D467475" w14:textId="591E2C49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</w:rPr>
      </w:pPr>
      <w:r w:rsidRPr="002C69BE">
        <w:rPr>
          <w:rFonts w:asciiTheme="majorHAnsi" w:hAnsiTheme="majorHAnsi" w:cs="Helvetica"/>
          <w:b/>
          <w:sz w:val="22"/>
          <w:szCs w:val="22"/>
        </w:rPr>
        <w:t>New Connect za mały</w:t>
      </w:r>
    </w:p>
    <w:p w14:paraId="0A8D88C9" w14:textId="77777777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5672468F" w14:textId="50E4F067" w:rsidR="001003E4" w:rsidRPr="002C69BE" w:rsidRDefault="005C7981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2C69BE">
        <w:rPr>
          <w:rFonts w:asciiTheme="majorHAnsi" w:hAnsiTheme="majorHAnsi" w:cs="Helvetica"/>
          <w:sz w:val="22"/>
          <w:szCs w:val="22"/>
        </w:rPr>
        <w:t>Celem zmiany rynku notowań e</w:t>
      </w:r>
      <w:r w:rsidR="001003E4" w:rsidRPr="002C69BE">
        <w:rPr>
          <w:rFonts w:asciiTheme="majorHAnsi" w:hAnsiTheme="majorHAnsi" w:cs="Helvetica"/>
          <w:sz w:val="22"/>
          <w:szCs w:val="22"/>
        </w:rPr>
        <w:t xml:space="preserve">mitenta z alternatywnego systemu obrotu </w:t>
      </w:r>
      <w:proofErr w:type="spellStart"/>
      <w:r w:rsidR="001003E4" w:rsidRPr="002C69BE">
        <w:rPr>
          <w:rFonts w:asciiTheme="majorHAnsi" w:hAnsiTheme="majorHAnsi" w:cs="Helvetica"/>
          <w:sz w:val="22"/>
          <w:szCs w:val="22"/>
        </w:rPr>
        <w:t>NewConnect</w:t>
      </w:r>
      <w:proofErr w:type="spellEnd"/>
      <w:r w:rsidRPr="002C69BE">
        <w:rPr>
          <w:rFonts w:asciiTheme="majorHAnsi" w:hAnsiTheme="majorHAnsi" w:cs="Helvetica"/>
          <w:sz w:val="22"/>
          <w:szCs w:val="22"/>
        </w:rPr>
        <w:t>,</w:t>
      </w:r>
      <w:r w:rsidR="001003E4" w:rsidRPr="002C69BE">
        <w:rPr>
          <w:rFonts w:asciiTheme="majorHAnsi" w:hAnsiTheme="majorHAnsi" w:cs="Helvetica"/>
          <w:sz w:val="22"/>
          <w:szCs w:val="22"/>
        </w:rPr>
        <w:t xml:space="preserve"> na rynek regulowany Giełdy Papierów Wartościowych w Warszawie, jest zwiększenie możliwości pozyskiwania kapitału na rozwój spółki, a także zwiększenie jej transparentności. </w:t>
      </w:r>
    </w:p>
    <w:p w14:paraId="7909ADB1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</w:p>
    <w:p w14:paraId="17ABBE70" w14:textId="1386A47B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i/>
          <w:sz w:val="22"/>
          <w:szCs w:val="22"/>
        </w:rPr>
      </w:pPr>
      <w:r w:rsidRPr="002C69BE">
        <w:rPr>
          <w:rFonts w:asciiTheme="majorHAnsi" w:hAnsiTheme="majorHAnsi" w:cs="Helvetica"/>
          <w:i/>
          <w:sz w:val="22"/>
          <w:szCs w:val="22"/>
        </w:rPr>
        <w:lastRenderedPageBreak/>
        <w:t>„</w:t>
      </w:r>
      <w:r w:rsidR="00E91E54" w:rsidRPr="002C69BE">
        <w:rPr>
          <w:rFonts w:asciiTheme="majorHAnsi" w:hAnsiTheme="majorHAnsi" w:cs="Helvetica"/>
          <w:i/>
          <w:sz w:val="22"/>
          <w:szCs w:val="22"/>
        </w:rPr>
        <w:t>Jesteśmy jedną z największych</w:t>
      </w:r>
      <w:r w:rsidR="005C7981" w:rsidRPr="002C69BE">
        <w:rPr>
          <w:rFonts w:asciiTheme="majorHAnsi" w:hAnsiTheme="majorHAnsi" w:cs="Helvetica"/>
          <w:i/>
          <w:sz w:val="22"/>
          <w:szCs w:val="22"/>
        </w:rPr>
        <w:t xml:space="preserve"> firm notowanych na </w:t>
      </w:r>
      <w:proofErr w:type="spellStart"/>
      <w:r w:rsidR="005C7981" w:rsidRPr="002C69BE">
        <w:rPr>
          <w:rFonts w:asciiTheme="majorHAnsi" w:hAnsiTheme="majorHAnsi" w:cs="Helvetica"/>
          <w:i/>
          <w:sz w:val="22"/>
          <w:szCs w:val="22"/>
        </w:rPr>
        <w:t>NewConnect</w:t>
      </w:r>
      <w:proofErr w:type="spellEnd"/>
      <w:r w:rsidR="005C7981" w:rsidRPr="002C69BE">
        <w:rPr>
          <w:rFonts w:asciiTheme="majorHAnsi" w:hAnsiTheme="majorHAnsi" w:cs="Helvetica"/>
          <w:i/>
          <w:sz w:val="22"/>
          <w:szCs w:val="22"/>
        </w:rPr>
        <w:t>,</w:t>
      </w:r>
      <w:r w:rsidR="00E91E54" w:rsidRPr="002C69BE">
        <w:rPr>
          <w:rFonts w:asciiTheme="majorHAnsi" w:hAnsiTheme="majorHAnsi" w:cs="Helvetica"/>
          <w:i/>
          <w:sz w:val="22"/>
          <w:szCs w:val="22"/>
        </w:rPr>
        <w:t xml:space="preserve"> w</w:t>
      </w:r>
      <w:r w:rsidR="000D2D36" w:rsidRPr="002C69BE">
        <w:rPr>
          <w:rFonts w:asciiTheme="majorHAnsi" w:hAnsiTheme="majorHAnsi" w:cs="Helvetica"/>
          <w:i/>
          <w:sz w:val="22"/>
          <w:szCs w:val="22"/>
        </w:rPr>
        <w:t xml:space="preserve"> </w:t>
      </w:r>
      <w:r w:rsidR="005C7981" w:rsidRPr="002C69BE">
        <w:rPr>
          <w:rFonts w:asciiTheme="majorHAnsi" w:hAnsiTheme="majorHAnsi" w:cs="Helvetica"/>
          <w:i/>
          <w:sz w:val="22"/>
          <w:szCs w:val="22"/>
        </w:rPr>
        <w:t xml:space="preserve">pełni dojrzałą, </w:t>
      </w:r>
      <w:r w:rsidR="00E91E54" w:rsidRPr="002C69BE">
        <w:rPr>
          <w:rFonts w:asciiTheme="majorHAnsi" w:hAnsiTheme="majorHAnsi" w:cs="Helvetica"/>
          <w:i/>
          <w:sz w:val="22"/>
          <w:szCs w:val="22"/>
        </w:rPr>
        <w:t xml:space="preserve">by być notowaną na rynku regulowanym. Środki, które pozyskaliśmy </w:t>
      </w:r>
      <w:r w:rsidRPr="002C69BE">
        <w:rPr>
          <w:rFonts w:asciiTheme="majorHAnsi" w:hAnsiTheme="majorHAnsi" w:cs="Helvetica"/>
          <w:i/>
          <w:sz w:val="22"/>
          <w:szCs w:val="22"/>
        </w:rPr>
        <w:t xml:space="preserve">od inwestorów </w:t>
      </w:r>
      <w:r w:rsidR="00E91E54" w:rsidRPr="002C69BE">
        <w:rPr>
          <w:rFonts w:asciiTheme="majorHAnsi" w:hAnsiTheme="majorHAnsi" w:cs="Helvetica"/>
          <w:i/>
          <w:sz w:val="22"/>
          <w:szCs w:val="22"/>
        </w:rPr>
        <w:t xml:space="preserve">podczas </w:t>
      </w:r>
      <w:r w:rsidR="006B5A14" w:rsidRPr="002C69BE">
        <w:rPr>
          <w:rFonts w:asciiTheme="majorHAnsi" w:hAnsiTheme="majorHAnsi" w:cs="Helvetica"/>
          <w:i/>
          <w:sz w:val="22"/>
          <w:szCs w:val="22"/>
        </w:rPr>
        <w:t xml:space="preserve">pierwszych dwóch </w:t>
      </w:r>
      <w:r w:rsidR="00E91E54" w:rsidRPr="002C69BE">
        <w:rPr>
          <w:rFonts w:asciiTheme="majorHAnsi" w:hAnsiTheme="majorHAnsi" w:cs="Helvetica"/>
          <w:i/>
          <w:sz w:val="22"/>
          <w:szCs w:val="22"/>
        </w:rPr>
        <w:t xml:space="preserve">emisji, </w:t>
      </w:r>
      <w:r w:rsidR="005C7981" w:rsidRPr="002C69BE">
        <w:rPr>
          <w:rFonts w:asciiTheme="majorHAnsi" w:hAnsiTheme="majorHAnsi" w:cs="Helvetica"/>
          <w:i/>
          <w:sz w:val="22"/>
          <w:szCs w:val="22"/>
        </w:rPr>
        <w:t>przeznaczy</w:t>
      </w:r>
      <w:r w:rsidRPr="002C69BE">
        <w:rPr>
          <w:rFonts w:asciiTheme="majorHAnsi" w:hAnsiTheme="majorHAnsi" w:cs="Helvetica"/>
          <w:i/>
          <w:sz w:val="22"/>
          <w:szCs w:val="22"/>
        </w:rPr>
        <w:t xml:space="preserve">liśmy </w:t>
      </w:r>
      <w:r w:rsidR="00E91E54" w:rsidRPr="002C69BE">
        <w:rPr>
          <w:rFonts w:asciiTheme="majorHAnsi" w:hAnsiTheme="majorHAnsi" w:cs="Helvetica"/>
          <w:i/>
          <w:sz w:val="22"/>
          <w:szCs w:val="22"/>
        </w:rPr>
        <w:t xml:space="preserve">na rozwój i inwestycje. </w:t>
      </w:r>
      <w:r w:rsidR="002C69BE" w:rsidRPr="002C69BE">
        <w:rPr>
          <w:rFonts w:asciiTheme="majorHAnsi" w:hAnsiTheme="majorHAnsi" w:cs="Helvetica"/>
          <w:i/>
          <w:sz w:val="22"/>
          <w:szCs w:val="22"/>
        </w:rPr>
        <w:t>Dzisiaj naszym kolejnym celem jest przejście na rynek regulowany. Obecność na Giełdzie Papierów Wartościowych wzmocni nasz wizerunek w oczach</w:t>
      </w:r>
      <w:r w:rsidRPr="002C69BE">
        <w:rPr>
          <w:rFonts w:asciiTheme="majorHAnsi" w:hAnsiTheme="majorHAnsi" w:cs="Helvetica"/>
          <w:i/>
          <w:sz w:val="22"/>
          <w:szCs w:val="22"/>
        </w:rPr>
        <w:t xml:space="preserve"> </w:t>
      </w:r>
      <w:r w:rsidR="002C69BE" w:rsidRPr="002C69BE">
        <w:rPr>
          <w:rFonts w:asciiTheme="majorHAnsi" w:hAnsiTheme="majorHAnsi" w:cs="Helvetica"/>
          <w:i/>
          <w:sz w:val="22"/>
          <w:szCs w:val="22"/>
        </w:rPr>
        <w:t xml:space="preserve">naszych </w:t>
      </w:r>
      <w:r w:rsidR="000D2D36" w:rsidRPr="002C69BE">
        <w:rPr>
          <w:rFonts w:asciiTheme="majorHAnsi" w:hAnsiTheme="majorHAnsi" w:cs="Helvetica"/>
          <w:i/>
          <w:sz w:val="22"/>
          <w:szCs w:val="22"/>
        </w:rPr>
        <w:t>kontrahentów, szczególnie w skali międzynarodowej</w:t>
      </w:r>
      <w:r w:rsidRPr="002C69BE">
        <w:rPr>
          <w:rFonts w:asciiTheme="majorHAnsi" w:hAnsiTheme="majorHAnsi" w:cs="Helvetica"/>
          <w:i/>
          <w:sz w:val="22"/>
          <w:szCs w:val="22"/>
        </w:rPr>
        <w:t>. Będziemy wiarygodni</w:t>
      </w:r>
      <w:r w:rsidR="000D2D36" w:rsidRPr="002C69BE">
        <w:rPr>
          <w:rFonts w:asciiTheme="majorHAnsi" w:hAnsiTheme="majorHAnsi" w:cs="Helvetica"/>
          <w:i/>
          <w:sz w:val="22"/>
          <w:szCs w:val="22"/>
        </w:rPr>
        <w:t xml:space="preserve"> </w:t>
      </w:r>
      <w:r w:rsidRPr="002C69BE">
        <w:rPr>
          <w:rFonts w:asciiTheme="majorHAnsi" w:hAnsiTheme="majorHAnsi" w:cs="Helvetica"/>
          <w:i/>
          <w:sz w:val="22"/>
          <w:szCs w:val="22"/>
        </w:rPr>
        <w:t>i transparentni zarówno dla naszych inwestorów</w:t>
      </w:r>
      <w:r w:rsidR="005C7981" w:rsidRPr="002C69BE">
        <w:rPr>
          <w:rFonts w:asciiTheme="majorHAnsi" w:hAnsiTheme="majorHAnsi" w:cs="Helvetica"/>
          <w:i/>
          <w:sz w:val="22"/>
          <w:szCs w:val="22"/>
        </w:rPr>
        <w:t>,</w:t>
      </w:r>
      <w:r w:rsidRPr="002C69BE">
        <w:rPr>
          <w:rFonts w:asciiTheme="majorHAnsi" w:hAnsiTheme="majorHAnsi" w:cs="Helvetica"/>
          <w:i/>
          <w:sz w:val="22"/>
          <w:szCs w:val="22"/>
        </w:rPr>
        <w:t xml:space="preserve"> jak i</w:t>
      </w:r>
      <w:r w:rsidR="00DA210E" w:rsidRPr="002C69BE">
        <w:rPr>
          <w:rFonts w:asciiTheme="majorHAnsi" w:hAnsiTheme="majorHAnsi" w:cs="Helvetica"/>
          <w:i/>
          <w:sz w:val="22"/>
          <w:szCs w:val="22"/>
        </w:rPr>
        <w:t xml:space="preserve"> dla</w:t>
      </w:r>
      <w:r w:rsidRPr="002C69BE">
        <w:rPr>
          <w:rFonts w:asciiTheme="majorHAnsi" w:hAnsiTheme="majorHAnsi" w:cs="Helvetica"/>
          <w:i/>
          <w:sz w:val="22"/>
          <w:szCs w:val="22"/>
        </w:rPr>
        <w:t xml:space="preserve"> partnerów biznesowych</w:t>
      </w:r>
      <w:r w:rsidRPr="002C69BE">
        <w:rPr>
          <w:rFonts w:asciiTheme="majorHAnsi" w:hAnsiTheme="majorHAnsi" w:cs="Helvetica"/>
          <w:sz w:val="22"/>
          <w:szCs w:val="22"/>
        </w:rPr>
        <w:t xml:space="preserve">.” – dodaje prezes </w:t>
      </w:r>
      <w:proofErr w:type="spellStart"/>
      <w:r w:rsidRPr="002C69BE">
        <w:rPr>
          <w:rFonts w:asciiTheme="majorHAnsi" w:hAnsiTheme="majorHAnsi" w:cs="Helvetica"/>
          <w:sz w:val="22"/>
          <w:szCs w:val="22"/>
        </w:rPr>
        <w:t>Wtorkowski</w:t>
      </w:r>
      <w:proofErr w:type="spellEnd"/>
      <w:r w:rsidRPr="002C69BE">
        <w:rPr>
          <w:rFonts w:asciiTheme="majorHAnsi" w:hAnsiTheme="majorHAnsi" w:cs="Helvetica"/>
          <w:sz w:val="22"/>
          <w:szCs w:val="22"/>
        </w:rPr>
        <w:t>.</w:t>
      </w:r>
    </w:p>
    <w:p w14:paraId="17D06A49" w14:textId="77777777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318A25B2" w14:textId="34438F68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b/>
          <w:sz w:val="22"/>
          <w:szCs w:val="22"/>
        </w:rPr>
      </w:pPr>
      <w:r w:rsidRPr="002C69BE">
        <w:rPr>
          <w:rFonts w:asciiTheme="majorHAnsi" w:hAnsiTheme="majorHAnsi" w:cs="Helvetica"/>
          <w:b/>
          <w:sz w:val="22"/>
          <w:szCs w:val="22"/>
        </w:rPr>
        <w:t>Rekordowe przychody za 2016 r.</w:t>
      </w:r>
    </w:p>
    <w:p w14:paraId="5480FD86" w14:textId="77777777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</w:p>
    <w:p w14:paraId="32B58264" w14:textId="4E829276" w:rsidR="001003E4" w:rsidRPr="002C69BE" w:rsidRDefault="001003E4" w:rsidP="002C69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b/>
          <w:bCs/>
          <w:sz w:val="22"/>
          <w:szCs w:val="22"/>
        </w:rPr>
      </w:pPr>
      <w:r w:rsidRPr="002C69BE">
        <w:rPr>
          <w:rFonts w:asciiTheme="majorHAnsi" w:hAnsiTheme="majorHAnsi" w:cs="Helvetica"/>
          <w:sz w:val="22"/>
          <w:szCs w:val="22"/>
        </w:rPr>
        <w:t>Wczoraj</w:t>
      </w:r>
      <w:r w:rsidR="005C7981" w:rsidRPr="002C69BE">
        <w:rPr>
          <w:rFonts w:asciiTheme="majorHAnsi" w:hAnsiTheme="majorHAnsi" w:cs="Helvetica"/>
          <w:sz w:val="22"/>
          <w:szCs w:val="22"/>
        </w:rPr>
        <w:t>,</w:t>
      </w:r>
      <w:r w:rsidRPr="002C69BE">
        <w:rPr>
          <w:rFonts w:asciiTheme="majorHAnsi" w:hAnsiTheme="majorHAnsi" w:cs="Helvetica"/>
          <w:sz w:val="22"/>
          <w:szCs w:val="22"/>
        </w:rPr>
        <w:t xml:space="preserve"> spółka opublikowała skonsolidowane wyniki finansowe za rok ubiegły, które p</w:t>
      </w:r>
      <w:r w:rsidR="005C7981" w:rsidRPr="002C69BE">
        <w:rPr>
          <w:rFonts w:asciiTheme="majorHAnsi" w:hAnsiTheme="majorHAnsi" w:cs="Helvetica"/>
          <w:sz w:val="22"/>
          <w:szCs w:val="22"/>
        </w:rPr>
        <w:t>otwierdzają bardzo dobrą kondycję</w:t>
      </w:r>
      <w:r w:rsidRPr="002C69BE">
        <w:rPr>
          <w:rFonts w:asciiTheme="majorHAnsi" w:hAnsiTheme="majorHAnsi" w:cs="Helvetica"/>
          <w:sz w:val="22"/>
          <w:szCs w:val="22"/>
        </w:rPr>
        <w:t xml:space="preserve"> firmy. W </w:t>
      </w:r>
      <w:r w:rsidR="005C7981" w:rsidRPr="002C69BE">
        <w:rPr>
          <w:rFonts w:asciiTheme="majorHAnsi" w:hAnsiTheme="majorHAnsi" w:cs="Helvetica"/>
          <w:sz w:val="22"/>
          <w:szCs w:val="22"/>
        </w:rPr>
        <w:t>roku 2016 s</w:t>
      </w:r>
      <w:r w:rsidRPr="002C69BE">
        <w:rPr>
          <w:rFonts w:asciiTheme="majorHAnsi" w:hAnsiTheme="majorHAnsi" w:cs="Helvetica"/>
          <w:sz w:val="22"/>
          <w:szCs w:val="22"/>
        </w:rPr>
        <w:t xml:space="preserve">półka osiągnęła rekordowe przychody. W porównaniu </w:t>
      </w:r>
      <w:r w:rsidR="005C7981" w:rsidRPr="002C69BE">
        <w:rPr>
          <w:rFonts w:asciiTheme="majorHAnsi" w:hAnsiTheme="majorHAnsi" w:cs="Helvetica"/>
          <w:sz w:val="22"/>
          <w:szCs w:val="22"/>
        </w:rPr>
        <w:br/>
      </w:r>
      <w:r w:rsidRPr="002C69BE">
        <w:rPr>
          <w:rFonts w:asciiTheme="majorHAnsi" w:hAnsiTheme="majorHAnsi" w:cs="Helvetica"/>
          <w:sz w:val="22"/>
          <w:szCs w:val="22"/>
        </w:rPr>
        <w:t xml:space="preserve">z rokiem 2015, wzrosły one o 10,29 proc. i wyniosły 120,9 mln zł. Zysk z działalności operacyjnej wzrósł </w:t>
      </w:r>
      <w:r w:rsidRPr="002C69BE">
        <w:rPr>
          <w:rFonts w:asciiTheme="majorHAnsi" w:hAnsiTheme="majorHAnsi" w:cs="Helvetica"/>
          <w:sz w:val="22"/>
          <w:szCs w:val="22"/>
        </w:rPr>
        <w:br/>
        <w:t xml:space="preserve">z poziomu 5,78 </w:t>
      </w:r>
      <w:r w:rsidRPr="002C69BE">
        <w:rPr>
          <w:rFonts w:asciiTheme="majorHAnsi" w:hAnsiTheme="majorHAnsi" w:cs="Helvetica"/>
          <w:bCs/>
          <w:sz w:val="22"/>
          <w:szCs w:val="22"/>
        </w:rPr>
        <w:t>mln zł w roku 2015, do poziomu 5,91 mln zł  w roku 2016, czyli o 2,5 proc. rok do roku. Wynik ten dodatkowo wzmacnia poprawa marży na sprzedaży brutto</w:t>
      </w:r>
      <w:r w:rsidR="00DA210E" w:rsidRPr="002C69BE">
        <w:rPr>
          <w:rFonts w:asciiTheme="majorHAnsi" w:hAnsiTheme="majorHAnsi" w:cs="Helvetica"/>
          <w:bCs/>
          <w:sz w:val="22"/>
          <w:szCs w:val="22"/>
        </w:rPr>
        <w:t>,</w:t>
      </w:r>
      <w:r w:rsidRPr="002C69BE">
        <w:rPr>
          <w:rFonts w:asciiTheme="majorHAnsi" w:hAnsiTheme="majorHAnsi" w:cs="Helvetica"/>
          <w:bCs/>
          <w:sz w:val="22"/>
          <w:szCs w:val="22"/>
        </w:rPr>
        <w:t xml:space="preserve"> do poziomu 39,1 proc. Zarówno EBIT, jak  i EBITDA wykazały w raportowanym okresie pozytywną dynamikę. Rentowność EBITDA wyniosła 8,23 proc. w porównaniu z 7,63 proc. w roku 2015. Wynik EBITDA wyniósł niemal 10 mln zł.  Zysk netto osiągnął poziom 3,01 mln zł.</w:t>
      </w:r>
    </w:p>
    <w:p w14:paraId="7857F68A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-58"/>
        <w:jc w:val="both"/>
        <w:rPr>
          <w:rFonts w:asciiTheme="majorHAnsi" w:hAnsiTheme="majorHAnsi" w:cs="Calibri"/>
          <w:color w:val="FF0000"/>
          <w:sz w:val="22"/>
          <w:szCs w:val="22"/>
        </w:rPr>
      </w:pPr>
    </w:p>
    <w:p w14:paraId="3B124B0C" w14:textId="0CDEB227" w:rsidR="006B5A14" w:rsidRPr="002C69BE" w:rsidRDefault="001003E4" w:rsidP="002C69BE">
      <w:pPr>
        <w:jc w:val="both"/>
        <w:rPr>
          <w:rFonts w:asciiTheme="majorHAnsi" w:hAnsiTheme="majorHAnsi" w:cs="Helvetica"/>
          <w:bCs/>
          <w:sz w:val="22"/>
          <w:szCs w:val="22"/>
        </w:rPr>
      </w:pPr>
      <w:r w:rsidRPr="002C69BE">
        <w:rPr>
          <w:rFonts w:asciiTheme="majorHAnsi" w:hAnsiTheme="majorHAnsi" w:cs="Helvetica"/>
          <w:bCs/>
          <w:sz w:val="22"/>
          <w:szCs w:val="22"/>
        </w:rPr>
        <w:t xml:space="preserve">Rekordowe wyniki sprzedaży i wzrost marży, oddają tendencje rynkowe związane ze znaczącym </w:t>
      </w:r>
      <w:r w:rsidRPr="002C69BE">
        <w:rPr>
          <w:rFonts w:asciiTheme="majorHAnsi" w:hAnsiTheme="majorHAnsi" w:cs="Helvetica"/>
          <w:bCs/>
          <w:sz w:val="22"/>
          <w:szCs w:val="22"/>
        </w:rPr>
        <w:br/>
        <w:t xml:space="preserve">wzrostem i rozwojem rynku produktów </w:t>
      </w:r>
      <w:proofErr w:type="spellStart"/>
      <w:r w:rsidR="006B5A14" w:rsidRPr="002C69BE">
        <w:rPr>
          <w:rFonts w:asciiTheme="majorHAnsi" w:hAnsiTheme="majorHAnsi" w:cs="Helvetica"/>
          <w:bCs/>
          <w:sz w:val="22"/>
          <w:szCs w:val="22"/>
        </w:rPr>
        <w:t>ledowych</w:t>
      </w:r>
      <w:proofErr w:type="spellEnd"/>
      <w:r w:rsidRPr="002C69BE">
        <w:rPr>
          <w:rFonts w:asciiTheme="majorHAnsi" w:hAnsiTheme="majorHAnsi" w:cs="Helvetica"/>
          <w:bCs/>
          <w:sz w:val="22"/>
          <w:szCs w:val="22"/>
        </w:rPr>
        <w:t xml:space="preserve">, których </w:t>
      </w:r>
      <w:r w:rsidR="006B5A14" w:rsidRPr="002C69BE">
        <w:rPr>
          <w:rFonts w:asciiTheme="majorHAnsi" w:hAnsiTheme="majorHAnsi" w:cs="Helvetica"/>
          <w:bCs/>
          <w:sz w:val="22"/>
          <w:szCs w:val="22"/>
        </w:rPr>
        <w:t xml:space="preserve">sprzedaż </w:t>
      </w:r>
      <w:r w:rsidRPr="002C69BE">
        <w:rPr>
          <w:rFonts w:asciiTheme="majorHAnsi" w:hAnsiTheme="majorHAnsi" w:cs="Helvetica"/>
          <w:bCs/>
          <w:sz w:val="22"/>
          <w:szCs w:val="22"/>
        </w:rPr>
        <w:t xml:space="preserve">stanowi dziś 87 proc. </w:t>
      </w:r>
      <w:r w:rsidR="006B5A14" w:rsidRPr="002C69BE">
        <w:rPr>
          <w:rFonts w:asciiTheme="majorHAnsi" w:hAnsiTheme="majorHAnsi" w:cs="Helvetica"/>
          <w:bCs/>
          <w:sz w:val="22"/>
          <w:szCs w:val="22"/>
        </w:rPr>
        <w:t>sprzedaży opraw oświetleniowych s</w:t>
      </w:r>
      <w:r w:rsidRPr="002C69BE">
        <w:rPr>
          <w:rFonts w:asciiTheme="majorHAnsi" w:hAnsiTheme="majorHAnsi" w:cs="Helvetica"/>
          <w:bCs/>
          <w:sz w:val="22"/>
          <w:szCs w:val="22"/>
        </w:rPr>
        <w:t>półki.</w:t>
      </w:r>
    </w:p>
    <w:p w14:paraId="2909CDB3" w14:textId="01191A4A" w:rsidR="000102B0" w:rsidRPr="002C69BE" w:rsidRDefault="000102B0" w:rsidP="002C69BE">
      <w:pPr>
        <w:jc w:val="both"/>
        <w:rPr>
          <w:rFonts w:asciiTheme="majorHAnsi" w:hAnsiTheme="majorHAnsi" w:cs="Helvetica"/>
          <w:b/>
          <w:bCs/>
          <w:sz w:val="22"/>
          <w:szCs w:val="22"/>
        </w:rPr>
      </w:pPr>
      <w:r w:rsidRPr="002C69BE">
        <w:rPr>
          <w:rFonts w:asciiTheme="majorHAnsi" w:hAnsiTheme="majorHAnsi" w:cs="Helvetica"/>
          <w:bCs/>
          <w:sz w:val="22"/>
          <w:szCs w:val="22"/>
        </w:rPr>
        <w:br/>
      </w:r>
      <w:r w:rsidRPr="002C69BE">
        <w:rPr>
          <w:rFonts w:asciiTheme="majorHAnsi" w:hAnsiTheme="majorHAnsi" w:cs="Helvetica"/>
          <w:bCs/>
          <w:sz w:val="22"/>
          <w:szCs w:val="22"/>
        </w:rPr>
        <w:br/>
      </w:r>
      <w:r w:rsidR="000D2D36" w:rsidRPr="002C69BE">
        <w:rPr>
          <w:rFonts w:asciiTheme="majorHAnsi" w:hAnsiTheme="majorHAnsi" w:cs="Helvetica"/>
          <w:b/>
          <w:bCs/>
          <w:sz w:val="22"/>
          <w:szCs w:val="22"/>
        </w:rPr>
        <w:t>Dywidenda</w:t>
      </w:r>
      <w:r w:rsidR="00DA210E" w:rsidRPr="002C69BE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="000D2D36" w:rsidRPr="002C69BE">
        <w:rPr>
          <w:rFonts w:asciiTheme="majorHAnsi" w:hAnsiTheme="majorHAnsi" w:cs="Helvetica"/>
          <w:b/>
          <w:bCs/>
          <w:sz w:val="22"/>
          <w:szCs w:val="22"/>
        </w:rPr>
        <w:t xml:space="preserve">potwierdza dobrą 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t>kondycj</w:t>
      </w:r>
      <w:r w:rsidR="000D2D36" w:rsidRPr="002C69BE">
        <w:rPr>
          <w:rFonts w:asciiTheme="majorHAnsi" w:hAnsiTheme="majorHAnsi" w:cs="Helvetica"/>
          <w:b/>
          <w:bCs/>
          <w:sz w:val="22"/>
          <w:szCs w:val="22"/>
        </w:rPr>
        <w:t>ę finansową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t xml:space="preserve"> spółki </w:t>
      </w:r>
    </w:p>
    <w:p w14:paraId="5B41F81E" w14:textId="63276E39" w:rsidR="00DA210E" w:rsidRPr="002C69BE" w:rsidRDefault="000102B0" w:rsidP="002C69BE">
      <w:pPr>
        <w:jc w:val="both"/>
        <w:rPr>
          <w:rFonts w:asciiTheme="majorHAnsi" w:hAnsiTheme="majorHAnsi"/>
          <w:sz w:val="22"/>
          <w:szCs w:val="22"/>
        </w:rPr>
      </w:pPr>
      <w:r w:rsidRPr="002C69BE"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Pr="002C69BE">
        <w:rPr>
          <w:rFonts w:asciiTheme="majorHAnsi" w:hAnsiTheme="majorHAnsi" w:cs="Helvetica"/>
          <w:b/>
          <w:bCs/>
          <w:sz w:val="22"/>
          <w:szCs w:val="22"/>
        </w:rPr>
        <w:br/>
      </w:r>
      <w:r w:rsidRPr="002C69BE">
        <w:rPr>
          <w:rFonts w:asciiTheme="majorHAnsi" w:hAnsiTheme="majorHAnsi" w:cs="AppleSystemUIFontBold"/>
          <w:bCs/>
          <w:color w:val="353535"/>
          <w:sz w:val="22"/>
          <w:szCs w:val="22"/>
        </w:rPr>
        <w:t>Zarząd LUG S</w:t>
      </w:r>
      <w:r w:rsidR="00DA210E" w:rsidRPr="002C69BE">
        <w:rPr>
          <w:rFonts w:asciiTheme="majorHAnsi" w:hAnsiTheme="majorHAnsi" w:cs="AppleSystemUIFontBold"/>
          <w:bCs/>
          <w:color w:val="353535"/>
          <w:sz w:val="22"/>
          <w:szCs w:val="22"/>
        </w:rPr>
        <w:t>.</w:t>
      </w:r>
      <w:r w:rsidRPr="002C69BE">
        <w:rPr>
          <w:rFonts w:asciiTheme="majorHAnsi" w:hAnsiTheme="majorHAnsi" w:cs="AppleSystemUIFontBold"/>
          <w:bCs/>
          <w:color w:val="353535"/>
          <w:sz w:val="22"/>
          <w:szCs w:val="22"/>
        </w:rPr>
        <w:t>A</w:t>
      </w:r>
      <w:r w:rsidR="00DA210E" w:rsidRPr="002C69BE">
        <w:rPr>
          <w:rFonts w:asciiTheme="majorHAnsi" w:hAnsiTheme="majorHAnsi" w:cs="AppleSystemUIFontBold"/>
          <w:bCs/>
          <w:color w:val="353535"/>
          <w:sz w:val="22"/>
          <w:szCs w:val="22"/>
        </w:rPr>
        <w:t>.</w:t>
      </w:r>
      <w:r w:rsidRPr="002C69BE">
        <w:rPr>
          <w:rFonts w:asciiTheme="majorHAnsi" w:hAnsiTheme="majorHAnsi" w:cs="AppleSystemUIFontBold"/>
          <w:bCs/>
          <w:color w:val="353535"/>
          <w:sz w:val="22"/>
          <w:szCs w:val="22"/>
        </w:rPr>
        <w:t xml:space="preserve"> zarekomendował Walnemu Zgromadzeniu wypłatę dywidendy w wysokości 0,14 zł za akcję</w:t>
      </w:r>
      <w:r w:rsidRPr="002C69BE">
        <w:rPr>
          <w:rFonts w:asciiTheme="majorHAnsi" w:hAnsiTheme="majorHAnsi" w:cs="AppleSystemUIFontBold"/>
          <w:b/>
          <w:bCs/>
          <w:color w:val="353535"/>
          <w:sz w:val="22"/>
          <w:szCs w:val="22"/>
        </w:rPr>
        <w:t xml:space="preserve">. </w:t>
      </w:r>
      <w:r w:rsidRPr="002C69BE">
        <w:rPr>
          <w:rFonts w:asciiTheme="majorHAnsi" w:hAnsiTheme="majorHAnsi"/>
          <w:sz w:val="22"/>
          <w:szCs w:val="22"/>
        </w:rPr>
        <w:t>Sytuacja finansowa Grupy Kapitałowej LUG S.A.</w:t>
      </w:r>
      <w:r w:rsidR="00DA210E" w:rsidRPr="002C69BE">
        <w:rPr>
          <w:rFonts w:asciiTheme="majorHAnsi" w:hAnsiTheme="majorHAnsi"/>
          <w:sz w:val="22"/>
          <w:szCs w:val="22"/>
        </w:rPr>
        <w:t>,</w:t>
      </w:r>
      <w:r w:rsidRPr="002C69BE">
        <w:rPr>
          <w:rFonts w:asciiTheme="majorHAnsi" w:hAnsiTheme="majorHAnsi"/>
          <w:sz w:val="22"/>
          <w:szCs w:val="22"/>
        </w:rPr>
        <w:t xml:space="preserve"> dzięki dynamicznemu rozwojowi oraz wypracowanemu w 2016 roku skonsolidowanemu zyskow</w:t>
      </w:r>
      <w:r w:rsidR="00DA210E" w:rsidRPr="002C69BE">
        <w:rPr>
          <w:rFonts w:asciiTheme="majorHAnsi" w:hAnsiTheme="majorHAnsi"/>
          <w:sz w:val="22"/>
          <w:szCs w:val="22"/>
        </w:rPr>
        <w:t xml:space="preserve">i netto w wysokości 3.009,06 zł, </w:t>
      </w:r>
      <w:r w:rsidRPr="002C69BE">
        <w:rPr>
          <w:rFonts w:asciiTheme="majorHAnsi" w:hAnsiTheme="majorHAnsi"/>
          <w:sz w:val="22"/>
          <w:szCs w:val="22"/>
        </w:rPr>
        <w:t xml:space="preserve">jest stabilna </w:t>
      </w:r>
      <w:r w:rsidR="00DA210E" w:rsidRPr="002C69BE">
        <w:rPr>
          <w:rFonts w:asciiTheme="majorHAnsi" w:hAnsiTheme="majorHAnsi"/>
          <w:sz w:val="22"/>
          <w:szCs w:val="22"/>
        </w:rPr>
        <w:br/>
      </w:r>
      <w:r w:rsidRPr="002C69BE">
        <w:rPr>
          <w:rFonts w:asciiTheme="majorHAnsi" w:hAnsiTheme="majorHAnsi"/>
          <w:sz w:val="22"/>
          <w:szCs w:val="22"/>
        </w:rPr>
        <w:t>i gwarant</w:t>
      </w:r>
      <w:r w:rsidR="00DA210E" w:rsidRPr="002C69BE">
        <w:rPr>
          <w:rFonts w:asciiTheme="majorHAnsi" w:hAnsiTheme="majorHAnsi"/>
          <w:sz w:val="22"/>
          <w:szCs w:val="22"/>
        </w:rPr>
        <w:t>ująca dalszy rozwój i inwestycje</w:t>
      </w:r>
      <w:r w:rsidRPr="002C69BE">
        <w:rPr>
          <w:rFonts w:asciiTheme="majorHAnsi" w:hAnsiTheme="majorHAnsi"/>
          <w:sz w:val="22"/>
          <w:szCs w:val="22"/>
        </w:rPr>
        <w:t>. Jeśli Walne Zgromadzenia Akcjonariuszy zatwierdzi propozycję Zarządu</w:t>
      </w:r>
      <w:r w:rsidR="00DA210E" w:rsidRPr="002C69BE">
        <w:rPr>
          <w:rFonts w:asciiTheme="majorHAnsi" w:hAnsiTheme="majorHAnsi"/>
          <w:sz w:val="22"/>
          <w:szCs w:val="22"/>
        </w:rPr>
        <w:t>,</w:t>
      </w:r>
      <w:r w:rsidRPr="002C69BE">
        <w:rPr>
          <w:rFonts w:asciiTheme="majorHAnsi" w:hAnsiTheme="majorHAnsi"/>
          <w:sz w:val="22"/>
          <w:szCs w:val="22"/>
        </w:rPr>
        <w:t xml:space="preserve"> to termin ustalenia prawa do dywidendy przypadnie na dzień 14 września 2016 roku, a terminu wypłaty dywidendy - na dzień 21 września 2017 roku.</w:t>
      </w:r>
      <w:r w:rsidR="002C69BE" w:rsidRPr="002C69BE">
        <w:rPr>
          <w:rFonts w:asciiTheme="majorHAnsi" w:hAnsiTheme="majorHAnsi"/>
          <w:sz w:val="22"/>
          <w:szCs w:val="22"/>
        </w:rPr>
        <w:t xml:space="preserve"> Będzie to druga wypłata dywidendy w historii spółki. </w:t>
      </w:r>
    </w:p>
    <w:p w14:paraId="44831BA4" w14:textId="77777777" w:rsidR="002C69BE" w:rsidRPr="002C69BE" w:rsidRDefault="002C69BE" w:rsidP="002C69BE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/>
          <w:i/>
          <w:sz w:val="22"/>
          <w:szCs w:val="22"/>
        </w:rPr>
      </w:pPr>
    </w:p>
    <w:p w14:paraId="74C82975" w14:textId="5779EF93" w:rsidR="002C69BE" w:rsidRPr="002C69BE" w:rsidRDefault="002C69BE" w:rsidP="002C69B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/>
          <w:sz w:val="22"/>
          <w:szCs w:val="22"/>
        </w:rPr>
      </w:pPr>
      <w:r w:rsidRPr="002C69BE">
        <w:rPr>
          <w:rFonts w:asciiTheme="majorHAnsi" w:hAnsiTheme="majorHAnsi"/>
          <w:i/>
          <w:sz w:val="22"/>
          <w:szCs w:val="22"/>
        </w:rPr>
        <w:t xml:space="preserve"> - Przez lata </w:t>
      </w:r>
      <w:r w:rsidR="008D303E">
        <w:rPr>
          <w:rFonts w:asciiTheme="majorHAnsi" w:hAnsiTheme="majorHAnsi"/>
          <w:i/>
          <w:sz w:val="22"/>
          <w:szCs w:val="22"/>
        </w:rPr>
        <w:t xml:space="preserve">wypracowany </w:t>
      </w:r>
      <w:r w:rsidR="001A64E5">
        <w:rPr>
          <w:rFonts w:asciiTheme="majorHAnsi" w:hAnsiTheme="majorHAnsi"/>
          <w:i/>
          <w:sz w:val="22"/>
          <w:szCs w:val="22"/>
        </w:rPr>
        <w:t xml:space="preserve">zysk spółki </w:t>
      </w:r>
      <w:r w:rsidRPr="002C69BE">
        <w:rPr>
          <w:rFonts w:asciiTheme="majorHAnsi" w:hAnsiTheme="majorHAnsi"/>
          <w:i/>
          <w:sz w:val="22"/>
          <w:szCs w:val="22"/>
        </w:rPr>
        <w:t>przeznaczaliśmy na innowacje i rozwój</w:t>
      </w:r>
      <w:r w:rsidR="008D303E">
        <w:rPr>
          <w:rFonts w:asciiTheme="majorHAnsi" w:hAnsiTheme="majorHAnsi"/>
          <w:i/>
          <w:sz w:val="22"/>
          <w:szCs w:val="22"/>
        </w:rPr>
        <w:t>.  Dzisiaj dobre wyniki finansowe pozwalają nam zarekomendować po</w:t>
      </w:r>
      <w:r w:rsidRPr="002C69BE">
        <w:rPr>
          <w:rFonts w:asciiTheme="majorHAnsi" w:hAnsiTheme="majorHAnsi"/>
          <w:i/>
          <w:sz w:val="22"/>
          <w:szCs w:val="22"/>
        </w:rPr>
        <w:t>dzieleni</w:t>
      </w:r>
      <w:r w:rsidR="008D303E">
        <w:rPr>
          <w:rFonts w:asciiTheme="majorHAnsi" w:hAnsiTheme="majorHAnsi"/>
          <w:i/>
          <w:sz w:val="22"/>
          <w:szCs w:val="22"/>
        </w:rPr>
        <w:t>e</w:t>
      </w:r>
      <w:r w:rsidRPr="002C69BE">
        <w:rPr>
          <w:rFonts w:asciiTheme="majorHAnsi" w:hAnsiTheme="majorHAnsi"/>
          <w:i/>
          <w:sz w:val="22"/>
          <w:szCs w:val="22"/>
        </w:rPr>
        <w:t xml:space="preserve"> się </w:t>
      </w:r>
      <w:r w:rsidR="008D303E">
        <w:rPr>
          <w:rFonts w:asciiTheme="majorHAnsi" w:hAnsiTheme="majorHAnsi"/>
          <w:i/>
          <w:sz w:val="22"/>
          <w:szCs w:val="22"/>
        </w:rPr>
        <w:t>sukcesem</w:t>
      </w:r>
      <w:r w:rsidR="008D303E" w:rsidRPr="002C69BE">
        <w:rPr>
          <w:rFonts w:asciiTheme="majorHAnsi" w:hAnsiTheme="majorHAnsi"/>
          <w:i/>
          <w:sz w:val="22"/>
          <w:szCs w:val="22"/>
        </w:rPr>
        <w:t xml:space="preserve"> </w:t>
      </w:r>
      <w:r w:rsidRPr="002C69BE">
        <w:rPr>
          <w:rFonts w:asciiTheme="majorHAnsi" w:hAnsiTheme="majorHAnsi"/>
          <w:i/>
          <w:sz w:val="22"/>
          <w:szCs w:val="22"/>
        </w:rPr>
        <w:t>z akcjonariuszami.</w:t>
      </w:r>
      <w:r w:rsidR="008D303E">
        <w:rPr>
          <w:rFonts w:asciiTheme="majorHAnsi" w:hAnsiTheme="majorHAnsi"/>
          <w:i/>
          <w:sz w:val="22"/>
          <w:szCs w:val="22"/>
        </w:rPr>
        <w:t xml:space="preserve"> Mogę podkreślić, że m</w:t>
      </w:r>
      <w:r w:rsidRPr="002C69BE">
        <w:rPr>
          <w:rFonts w:asciiTheme="majorHAnsi" w:hAnsiTheme="majorHAnsi"/>
          <w:i/>
          <w:sz w:val="22"/>
          <w:szCs w:val="22"/>
        </w:rPr>
        <w:t xml:space="preserve">oją intencją jest myślenie o usystematyzowanej regularnej dywidendzie, ale dziś jest za wcześnie na ujęcie tego w ramy dokumentu – </w:t>
      </w:r>
      <w:r w:rsidRPr="002C69BE">
        <w:rPr>
          <w:rFonts w:asciiTheme="majorHAnsi" w:hAnsiTheme="majorHAnsi"/>
          <w:sz w:val="22"/>
          <w:szCs w:val="22"/>
        </w:rPr>
        <w:t xml:space="preserve">podsumowuje Ryszard </w:t>
      </w:r>
      <w:proofErr w:type="spellStart"/>
      <w:r w:rsidRPr="002C69BE">
        <w:rPr>
          <w:rFonts w:asciiTheme="majorHAnsi" w:hAnsiTheme="majorHAnsi"/>
          <w:sz w:val="22"/>
          <w:szCs w:val="22"/>
        </w:rPr>
        <w:t>Wtorkowski</w:t>
      </w:r>
      <w:proofErr w:type="spellEnd"/>
      <w:r w:rsidRPr="002C69BE">
        <w:rPr>
          <w:rFonts w:asciiTheme="majorHAnsi" w:hAnsiTheme="majorHAnsi"/>
          <w:i/>
          <w:sz w:val="22"/>
          <w:szCs w:val="22"/>
        </w:rPr>
        <w:t xml:space="preserve">. </w:t>
      </w:r>
    </w:p>
    <w:p w14:paraId="1E447D2E" w14:textId="77777777" w:rsidR="002C69BE" w:rsidRPr="002C69BE" w:rsidRDefault="002C69BE" w:rsidP="002C69BE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ABC5CB7" w14:textId="77777777" w:rsidR="002C69BE" w:rsidRPr="002C69BE" w:rsidRDefault="002C69BE" w:rsidP="002C69BE">
      <w:pPr>
        <w:jc w:val="both"/>
        <w:rPr>
          <w:rFonts w:asciiTheme="majorHAnsi" w:hAnsiTheme="majorHAnsi"/>
          <w:sz w:val="22"/>
          <w:szCs w:val="22"/>
        </w:rPr>
      </w:pPr>
    </w:p>
    <w:p w14:paraId="16BB16C2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</w:p>
    <w:p w14:paraId="2264DEA1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</w:p>
    <w:p w14:paraId="12BD8B47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jc w:val="center"/>
        <w:rPr>
          <w:rFonts w:asciiTheme="majorHAnsi" w:hAnsiTheme="majorHAnsi" w:cs="Calibri"/>
          <w:sz w:val="22"/>
          <w:szCs w:val="22"/>
        </w:rPr>
      </w:pPr>
      <w:r w:rsidRPr="002C69BE">
        <w:rPr>
          <w:rFonts w:asciiTheme="majorHAnsi" w:hAnsiTheme="majorHAnsi" w:cs="Calibri"/>
          <w:sz w:val="22"/>
          <w:szCs w:val="22"/>
        </w:rPr>
        <w:t>***</w:t>
      </w:r>
    </w:p>
    <w:p w14:paraId="0C94CC88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jc w:val="center"/>
        <w:rPr>
          <w:rFonts w:asciiTheme="majorHAnsi" w:hAnsiTheme="majorHAnsi" w:cs="Calibri"/>
          <w:sz w:val="22"/>
          <w:szCs w:val="22"/>
        </w:rPr>
      </w:pPr>
    </w:p>
    <w:p w14:paraId="4377378D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84"/>
        <w:jc w:val="both"/>
        <w:rPr>
          <w:rFonts w:asciiTheme="majorHAnsi" w:hAnsiTheme="majorHAnsi" w:cs="Calibri"/>
          <w:sz w:val="20"/>
          <w:szCs w:val="20"/>
        </w:rPr>
      </w:pPr>
      <w:r w:rsidRPr="002C69BE">
        <w:rPr>
          <w:rFonts w:asciiTheme="majorHAnsi" w:hAnsiTheme="majorHAnsi" w:cs="Calibri"/>
          <w:b/>
          <w:bCs/>
          <w:sz w:val="20"/>
          <w:szCs w:val="20"/>
        </w:rPr>
        <w:t xml:space="preserve">LUG S.A. </w:t>
      </w:r>
      <w:r w:rsidRPr="002C69BE">
        <w:rPr>
          <w:rFonts w:asciiTheme="majorHAnsi" w:hAnsiTheme="majorHAnsi" w:cs="Helvetica"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28 lat doświadczenia firma z siedzibą w Zielonej Górze, od 2008 roku </w:t>
      </w:r>
      <w:r w:rsidRPr="002C69BE">
        <w:rPr>
          <w:rFonts w:asciiTheme="majorHAnsi" w:hAnsiTheme="majorHAnsi" w:cs="Helvetica"/>
          <w:sz w:val="20"/>
          <w:szCs w:val="20"/>
        </w:rPr>
        <w:lastRenderedPageBreak/>
        <w:t xml:space="preserve">funkcjonuje jako Grupa Kapitałowa. W jej skład wchodzą: LUG S.A., LUG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Light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Factory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Sp. z o.o., LUG GmbH, LUG do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Brazil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Ltda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, LUG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Lighting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NewConnect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zarządzanym przez warszawską GPW. Więcej informacji: </w:t>
      </w:r>
      <w:hyperlink r:id="rId9" w:history="1">
        <w:r w:rsidRPr="002C69BE">
          <w:rPr>
            <w:rFonts w:asciiTheme="majorHAnsi" w:hAnsiTheme="majorHAnsi" w:cs="Calibri"/>
            <w:color w:val="0000FF"/>
            <w:sz w:val="20"/>
            <w:szCs w:val="20"/>
            <w:u w:val="single" w:color="0000FF"/>
          </w:rPr>
          <w:t>www.lug.com.pl</w:t>
        </w:r>
      </w:hyperlink>
    </w:p>
    <w:p w14:paraId="4F9AF443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</w:p>
    <w:p w14:paraId="06999898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</w:p>
    <w:p w14:paraId="4D7FA20F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b/>
          <w:bCs/>
          <w:sz w:val="22"/>
          <w:szCs w:val="22"/>
        </w:rPr>
      </w:pPr>
      <w:r w:rsidRPr="002C69BE">
        <w:rPr>
          <w:rFonts w:asciiTheme="majorHAnsi" w:hAnsiTheme="majorHAnsi" w:cs="Calibri"/>
          <w:b/>
          <w:bCs/>
          <w:sz w:val="22"/>
          <w:szCs w:val="22"/>
        </w:rPr>
        <w:t>Kontakt dla mediów i inwestorów:</w:t>
      </w:r>
    </w:p>
    <w:p w14:paraId="3479050C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</w:p>
    <w:p w14:paraId="21C370E8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b/>
          <w:bCs/>
          <w:sz w:val="22"/>
          <w:szCs w:val="22"/>
        </w:rPr>
      </w:pPr>
      <w:r w:rsidRPr="002C69BE">
        <w:rPr>
          <w:rFonts w:asciiTheme="majorHAnsi" w:hAnsiTheme="majorHAnsi" w:cs="Calibri"/>
          <w:b/>
          <w:bCs/>
          <w:sz w:val="22"/>
          <w:szCs w:val="22"/>
        </w:rPr>
        <w:t xml:space="preserve">Monika </w:t>
      </w:r>
      <w:proofErr w:type="spellStart"/>
      <w:r w:rsidRPr="002C69BE">
        <w:rPr>
          <w:rFonts w:asciiTheme="majorHAnsi" w:hAnsiTheme="majorHAnsi" w:cs="Calibri"/>
          <w:b/>
          <w:bCs/>
          <w:sz w:val="22"/>
          <w:szCs w:val="22"/>
        </w:rPr>
        <w:t>Bartoszak</w:t>
      </w:r>
      <w:proofErr w:type="spellEnd"/>
    </w:p>
    <w:p w14:paraId="61CF3C10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Helvetica"/>
          <w:sz w:val="22"/>
          <w:szCs w:val="22"/>
        </w:rPr>
      </w:pPr>
      <w:r w:rsidRPr="002C69BE">
        <w:rPr>
          <w:rFonts w:asciiTheme="majorHAnsi" w:hAnsiTheme="majorHAnsi" w:cs="Helvetica"/>
          <w:sz w:val="22"/>
          <w:szCs w:val="22"/>
        </w:rPr>
        <w:t>Dyrektor Biura Zarządu i Komunikacji</w:t>
      </w:r>
    </w:p>
    <w:p w14:paraId="66400C19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  <w:r w:rsidRPr="002C69BE">
        <w:rPr>
          <w:rFonts w:asciiTheme="majorHAnsi" w:hAnsiTheme="majorHAnsi" w:cs="Calibri"/>
          <w:sz w:val="22"/>
          <w:szCs w:val="22"/>
        </w:rPr>
        <w:t>+48 510 183 993</w:t>
      </w:r>
    </w:p>
    <w:p w14:paraId="421D1690" w14:textId="77777777" w:rsidR="001003E4" w:rsidRPr="002C69BE" w:rsidRDefault="00756040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  <w:hyperlink r:id="rId10" w:history="1">
        <w:r w:rsidR="001003E4" w:rsidRPr="002C69BE">
          <w:rPr>
            <w:rFonts w:asciiTheme="majorHAnsi" w:hAnsiTheme="majorHAnsi" w:cs="Calibri"/>
            <w:color w:val="0000FF"/>
            <w:sz w:val="22"/>
            <w:szCs w:val="22"/>
            <w:u w:val="single" w:color="0000FF"/>
          </w:rPr>
          <w:t>monika.bartoszak@lug.com.pl</w:t>
        </w:r>
      </w:hyperlink>
    </w:p>
    <w:p w14:paraId="70F77956" w14:textId="77777777" w:rsidR="001003E4" w:rsidRPr="002C69BE" w:rsidRDefault="00756040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color w:val="0000FF"/>
          <w:sz w:val="22"/>
          <w:szCs w:val="22"/>
          <w:u w:val="single" w:color="0000FF"/>
        </w:rPr>
      </w:pPr>
      <w:hyperlink r:id="rId11" w:history="1">
        <w:r w:rsidR="001003E4" w:rsidRPr="002C69BE">
          <w:rPr>
            <w:rFonts w:asciiTheme="majorHAnsi" w:hAnsiTheme="majorHAnsi" w:cs="Calibri"/>
            <w:color w:val="0000FF"/>
            <w:sz w:val="22"/>
            <w:szCs w:val="22"/>
            <w:u w:val="single" w:color="0000FF"/>
          </w:rPr>
          <w:t>relacje@lug.com.pl</w:t>
        </w:r>
      </w:hyperlink>
    </w:p>
    <w:p w14:paraId="60F6CF14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color w:val="0000FF"/>
          <w:sz w:val="22"/>
          <w:szCs w:val="22"/>
          <w:u w:val="single" w:color="0000FF"/>
        </w:rPr>
      </w:pPr>
    </w:p>
    <w:p w14:paraId="77730F66" w14:textId="5210590A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  <w:u w:color="0000FF"/>
        </w:rPr>
      </w:pPr>
      <w:r w:rsidRPr="002C69BE">
        <w:rPr>
          <w:rFonts w:asciiTheme="majorHAnsi" w:hAnsiTheme="majorHAnsi" w:cs="Calibri"/>
          <w:b/>
          <w:bCs/>
          <w:sz w:val="22"/>
          <w:szCs w:val="22"/>
          <w:u w:color="0000FF"/>
        </w:rPr>
        <w:t>Kamila  Górc</w:t>
      </w:r>
      <w:r w:rsidRPr="002C69BE">
        <w:rPr>
          <w:rFonts w:asciiTheme="majorHAnsi" w:hAnsiTheme="majorHAnsi" w:cs="Helvetica"/>
          <w:b/>
          <w:bCs/>
          <w:sz w:val="22"/>
          <w:szCs w:val="22"/>
          <w:u w:color="0000FF"/>
        </w:rPr>
        <w:t>zyńska-Żyżkowska </w:t>
      </w:r>
      <w:r w:rsidR="00DA210E" w:rsidRPr="002C69BE">
        <w:rPr>
          <w:rFonts w:asciiTheme="majorHAnsi" w:hAnsiTheme="majorHAnsi" w:cs="Helvetica"/>
          <w:b/>
          <w:bCs/>
          <w:sz w:val="22"/>
          <w:szCs w:val="22"/>
          <w:u w:color="0000FF"/>
        </w:rPr>
        <w:br/>
      </w:r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t xml:space="preserve">In </w:t>
      </w:r>
      <w:proofErr w:type="spellStart"/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t>Touch</w:t>
      </w:r>
      <w:proofErr w:type="spellEnd"/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br/>
      </w:r>
      <w:r w:rsidRPr="002C69BE">
        <w:rPr>
          <w:rFonts w:asciiTheme="majorHAnsi" w:hAnsiTheme="majorHAnsi" w:cs="Calibri"/>
          <w:sz w:val="22"/>
          <w:szCs w:val="22"/>
          <w:u w:color="0000FF"/>
        </w:rPr>
        <w:t>+48 601 805 484 </w:t>
      </w:r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br/>
      </w:r>
      <w:hyperlink r:id="rId12" w:history="1">
        <w:r w:rsidRPr="002C69BE">
          <w:rPr>
            <w:rFonts w:asciiTheme="majorHAnsi" w:hAnsiTheme="majorHAnsi" w:cs="Calibri"/>
            <w:color w:val="0000FF"/>
            <w:sz w:val="22"/>
            <w:szCs w:val="22"/>
            <w:u w:val="single" w:color="0000FF"/>
          </w:rPr>
          <w:t>kamila.zyzkowska@intouchpr.pl</w:t>
        </w:r>
      </w:hyperlink>
    </w:p>
    <w:p w14:paraId="1422B3CB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b/>
          <w:bCs/>
          <w:sz w:val="22"/>
          <w:szCs w:val="22"/>
          <w:u w:color="0000FF"/>
        </w:rPr>
      </w:pPr>
    </w:p>
    <w:p w14:paraId="7AF9D40C" w14:textId="77777777" w:rsidR="00D645F0" w:rsidRPr="002C69BE" w:rsidRDefault="00D645F0" w:rsidP="000D2D36">
      <w:pPr>
        <w:rPr>
          <w:rFonts w:asciiTheme="majorHAnsi" w:hAnsiTheme="majorHAnsi"/>
          <w:sz w:val="22"/>
          <w:szCs w:val="22"/>
        </w:rPr>
      </w:pPr>
    </w:p>
    <w:sectPr w:rsidR="00D645F0" w:rsidRPr="002C69BE" w:rsidSect="0012404D">
      <w:headerReference w:type="default" r:id="rId13"/>
      <w:footerReference w:type="default" r:id="rId14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BD0B57" w15:done="0"/>
  <w15:commentEx w15:paraId="378D5F23" w15:done="0"/>
  <w15:commentEx w15:paraId="17A7437C" w15:done="0"/>
  <w15:commentEx w15:paraId="47D5CDB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4019C" w14:textId="77777777" w:rsidR="001A64E5" w:rsidRDefault="001A64E5">
      <w:r>
        <w:separator/>
      </w:r>
    </w:p>
  </w:endnote>
  <w:endnote w:type="continuationSeparator" w:id="0">
    <w:p w14:paraId="3A267AF0" w14:textId="77777777" w:rsidR="001A64E5" w:rsidRDefault="001A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E3FB" w14:textId="77777777" w:rsidR="001A64E5" w:rsidRPr="001000FF" w:rsidRDefault="001A64E5">
    <w:pPr>
      <w:pStyle w:val="Stopka"/>
    </w:pPr>
    <w:r>
      <w:rPr>
        <w:noProof/>
        <w:lang w:val="en-US"/>
      </w:rPr>
      <w:drawing>
        <wp:inline distT="0" distB="0" distL="0" distR="0" wp14:anchorId="0BB67EF7" wp14:editId="733188D1">
          <wp:extent cx="5923915" cy="583565"/>
          <wp:effectExtent l="0" t="0" r="0" b="635"/>
          <wp:docPr id="2" name="Obraz 2" descr="Opis: 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1A338" w14:textId="77777777" w:rsidR="001A64E5" w:rsidRDefault="001A64E5">
      <w:r>
        <w:separator/>
      </w:r>
    </w:p>
  </w:footnote>
  <w:footnote w:type="continuationSeparator" w:id="0">
    <w:p w14:paraId="686F06B9" w14:textId="77777777" w:rsidR="001A64E5" w:rsidRDefault="001A64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C0B2" w14:textId="77777777" w:rsidR="001A64E5" w:rsidRPr="00A83E2A" w:rsidRDefault="001A64E5">
    <w:pPr>
      <w:pStyle w:val="Nagwek"/>
    </w:pPr>
    <w:r>
      <w:rPr>
        <w:noProof/>
        <w:lang w:val="en-US"/>
      </w:rPr>
      <w:drawing>
        <wp:inline distT="0" distB="0" distL="0" distR="0" wp14:anchorId="7BC10192" wp14:editId="3666401E">
          <wp:extent cx="5943600" cy="554355"/>
          <wp:effectExtent l="0" t="0" r="0" b="4445"/>
          <wp:docPr id="1" name="Obraz 1" descr="Opis: 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09854CCD" w14:textId="77777777" w:rsidR="001A64E5" w:rsidRPr="007858B1" w:rsidRDefault="001A64E5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03EEE"/>
    <w:multiLevelType w:val="hybridMultilevel"/>
    <w:tmpl w:val="11CE75C0"/>
    <w:lvl w:ilvl="0" w:tplc="7818B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139A"/>
    <w:multiLevelType w:val="hybridMultilevel"/>
    <w:tmpl w:val="A6F0BEB4"/>
    <w:lvl w:ilvl="0" w:tplc="7A0A308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0701"/>
    <w:multiLevelType w:val="hybridMultilevel"/>
    <w:tmpl w:val="4544CDF8"/>
    <w:lvl w:ilvl="0" w:tplc="5F9EA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5ED3"/>
    <w:multiLevelType w:val="hybridMultilevel"/>
    <w:tmpl w:val="470ADEF4"/>
    <w:lvl w:ilvl="0" w:tplc="6FA805D0"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6619"/>
    <w:multiLevelType w:val="hybridMultilevel"/>
    <w:tmpl w:val="FF480E90"/>
    <w:lvl w:ilvl="0" w:tplc="F3A4881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6A58"/>
    <w:multiLevelType w:val="hybridMultilevel"/>
    <w:tmpl w:val="4C6635C6"/>
    <w:lvl w:ilvl="0" w:tplc="8ABCF7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453AC"/>
    <w:multiLevelType w:val="hybridMultilevel"/>
    <w:tmpl w:val="2E6C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62845"/>
    <w:multiLevelType w:val="hybridMultilevel"/>
    <w:tmpl w:val="19AC1AEC"/>
    <w:lvl w:ilvl="0" w:tplc="AFAE33C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CFD00AD"/>
    <w:multiLevelType w:val="hybridMultilevel"/>
    <w:tmpl w:val="480C8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B0CC5"/>
    <w:multiLevelType w:val="hybridMultilevel"/>
    <w:tmpl w:val="49B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5721D"/>
    <w:multiLevelType w:val="multilevel"/>
    <w:tmpl w:val="189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F2DFB"/>
    <w:multiLevelType w:val="hybridMultilevel"/>
    <w:tmpl w:val="D60A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A6CAA"/>
    <w:multiLevelType w:val="hybridMultilevel"/>
    <w:tmpl w:val="6DAAB666"/>
    <w:lvl w:ilvl="0" w:tplc="1CC864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4"/>
  </w:num>
  <w:num w:numId="5">
    <w:abstractNumId w:val="7"/>
  </w:num>
  <w:num w:numId="6">
    <w:abstractNumId w:val="19"/>
  </w:num>
  <w:num w:numId="7">
    <w:abstractNumId w:val="1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11"/>
  </w:num>
  <w:num w:numId="16">
    <w:abstractNumId w:val="3"/>
  </w:num>
  <w:num w:numId="17">
    <w:abstractNumId w:val="17"/>
  </w:num>
  <w:num w:numId="18">
    <w:abstractNumId w:val="9"/>
  </w:num>
  <w:num w:numId="19">
    <w:abstractNumId w:val="0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2C4C"/>
    <w:rsid w:val="00005541"/>
    <w:rsid w:val="00006765"/>
    <w:rsid w:val="000102B0"/>
    <w:rsid w:val="00025BCA"/>
    <w:rsid w:val="00026392"/>
    <w:rsid w:val="00050940"/>
    <w:rsid w:val="00055E7D"/>
    <w:rsid w:val="000642FA"/>
    <w:rsid w:val="00070395"/>
    <w:rsid w:val="000821FE"/>
    <w:rsid w:val="000B3156"/>
    <w:rsid w:val="000C341D"/>
    <w:rsid w:val="000D2D36"/>
    <w:rsid w:val="000F0201"/>
    <w:rsid w:val="001000FF"/>
    <w:rsid w:val="001003E4"/>
    <w:rsid w:val="00122D1E"/>
    <w:rsid w:val="0012404D"/>
    <w:rsid w:val="00124B17"/>
    <w:rsid w:val="0013693C"/>
    <w:rsid w:val="0016578C"/>
    <w:rsid w:val="00195A9F"/>
    <w:rsid w:val="001A64E5"/>
    <w:rsid w:val="001B34CA"/>
    <w:rsid w:val="001D0402"/>
    <w:rsid w:val="001F3232"/>
    <w:rsid w:val="001F534C"/>
    <w:rsid w:val="0021240B"/>
    <w:rsid w:val="00214A7F"/>
    <w:rsid w:val="00220A66"/>
    <w:rsid w:val="00244B02"/>
    <w:rsid w:val="00245355"/>
    <w:rsid w:val="00247D11"/>
    <w:rsid w:val="002515FF"/>
    <w:rsid w:val="00262876"/>
    <w:rsid w:val="002718F3"/>
    <w:rsid w:val="002744ED"/>
    <w:rsid w:val="002831AB"/>
    <w:rsid w:val="00284FD0"/>
    <w:rsid w:val="00287B1B"/>
    <w:rsid w:val="002942A2"/>
    <w:rsid w:val="002A7D41"/>
    <w:rsid w:val="002B0413"/>
    <w:rsid w:val="002C69BE"/>
    <w:rsid w:val="002E4838"/>
    <w:rsid w:val="002F1F4B"/>
    <w:rsid w:val="00317B6E"/>
    <w:rsid w:val="003318B4"/>
    <w:rsid w:val="00334B6A"/>
    <w:rsid w:val="00334FB5"/>
    <w:rsid w:val="00346F57"/>
    <w:rsid w:val="003517A2"/>
    <w:rsid w:val="00354E3C"/>
    <w:rsid w:val="00363E52"/>
    <w:rsid w:val="003652F4"/>
    <w:rsid w:val="00380E61"/>
    <w:rsid w:val="0038330C"/>
    <w:rsid w:val="003B030B"/>
    <w:rsid w:val="003B3839"/>
    <w:rsid w:val="003C13EA"/>
    <w:rsid w:val="003C4F69"/>
    <w:rsid w:val="003E4A26"/>
    <w:rsid w:val="003F23F4"/>
    <w:rsid w:val="004408D7"/>
    <w:rsid w:val="004414C7"/>
    <w:rsid w:val="00454A31"/>
    <w:rsid w:val="004712E8"/>
    <w:rsid w:val="00472E4B"/>
    <w:rsid w:val="0048024F"/>
    <w:rsid w:val="004A2AF1"/>
    <w:rsid w:val="004C6C4C"/>
    <w:rsid w:val="004E6569"/>
    <w:rsid w:val="00531831"/>
    <w:rsid w:val="00534D10"/>
    <w:rsid w:val="00544A8E"/>
    <w:rsid w:val="005766D8"/>
    <w:rsid w:val="00594221"/>
    <w:rsid w:val="00596088"/>
    <w:rsid w:val="00596591"/>
    <w:rsid w:val="005B1722"/>
    <w:rsid w:val="005C0F7B"/>
    <w:rsid w:val="005C7981"/>
    <w:rsid w:val="005D3FDC"/>
    <w:rsid w:val="005D4324"/>
    <w:rsid w:val="005F766A"/>
    <w:rsid w:val="005F792F"/>
    <w:rsid w:val="006217BE"/>
    <w:rsid w:val="00637B80"/>
    <w:rsid w:val="00640F6F"/>
    <w:rsid w:val="0064474D"/>
    <w:rsid w:val="00655997"/>
    <w:rsid w:val="00664A2A"/>
    <w:rsid w:val="006945E8"/>
    <w:rsid w:val="006A44D3"/>
    <w:rsid w:val="006A6887"/>
    <w:rsid w:val="006B5A14"/>
    <w:rsid w:val="006C20C0"/>
    <w:rsid w:val="006D4AE3"/>
    <w:rsid w:val="006E4CD1"/>
    <w:rsid w:val="00711192"/>
    <w:rsid w:val="007368BE"/>
    <w:rsid w:val="00743F62"/>
    <w:rsid w:val="00756040"/>
    <w:rsid w:val="00763BF0"/>
    <w:rsid w:val="00770619"/>
    <w:rsid w:val="007737EB"/>
    <w:rsid w:val="007858B1"/>
    <w:rsid w:val="007958A8"/>
    <w:rsid w:val="00797672"/>
    <w:rsid w:val="007A51ED"/>
    <w:rsid w:val="007B2AD5"/>
    <w:rsid w:val="007B2B71"/>
    <w:rsid w:val="007C4322"/>
    <w:rsid w:val="007D2789"/>
    <w:rsid w:val="007F64A8"/>
    <w:rsid w:val="00803F08"/>
    <w:rsid w:val="00804521"/>
    <w:rsid w:val="00807D37"/>
    <w:rsid w:val="00830F20"/>
    <w:rsid w:val="00856D1F"/>
    <w:rsid w:val="00857013"/>
    <w:rsid w:val="0088267A"/>
    <w:rsid w:val="00886627"/>
    <w:rsid w:val="008876E4"/>
    <w:rsid w:val="008A2022"/>
    <w:rsid w:val="008A60FF"/>
    <w:rsid w:val="008B35AA"/>
    <w:rsid w:val="008B5CF4"/>
    <w:rsid w:val="008D05D8"/>
    <w:rsid w:val="008D303E"/>
    <w:rsid w:val="00901F18"/>
    <w:rsid w:val="0091775C"/>
    <w:rsid w:val="00920388"/>
    <w:rsid w:val="0093291E"/>
    <w:rsid w:val="00935224"/>
    <w:rsid w:val="00962956"/>
    <w:rsid w:val="009925F8"/>
    <w:rsid w:val="009B44EA"/>
    <w:rsid w:val="009C2540"/>
    <w:rsid w:val="009D1597"/>
    <w:rsid w:val="009D2D2C"/>
    <w:rsid w:val="009D671D"/>
    <w:rsid w:val="009E329B"/>
    <w:rsid w:val="009E64B9"/>
    <w:rsid w:val="009F15B8"/>
    <w:rsid w:val="00A00411"/>
    <w:rsid w:val="00A060DB"/>
    <w:rsid w:val="00A12419"/>
    <w:rsid w:val="00A274FD"/>
    <w:rsid w:val="00A55F77"/>
    <w:rsid w:val="00A6743D"/>
    <w:rsid w:val="00A743B1"/>
    <w:rsid w:val="00A83E2A"/>
    <w:rsid w:val="00A8510E"/>
    <w:rsid w:val="00A955BD"/>
    <w:rsid w:val="00A963AF"/>
    <w:rsid w:val="00AB016D"/>
    <w:rsid w:val="00AB57EB"/>
    <w:rsid w:val="00AC3A6A"/>
    <w:rsid w:val="00AD031A"/>
    <w:rsid w:val="00AD3614"/>
    <w:rsid w:val="00AE2DD1"/>
    <w:rsid w:val="00AE457F"/>
    <w:rsid w:val="00B045AF"/>
    <w:rsid w:val="00B04E7C"/>
    <w:rsid w:val="00B15E8C"/>
    <w:rsid w:val="00B17E58"/>
    <w:rsid w:val="00B20D15"/>
    <w:rsid w:val="00B30281"/>
    <w:rsid w:val="00B31868"/>
    <w:rsid w:val="00B40872"/>
    <w:rsid w:val="00B4241E"/>
    <w:rsid w:val="00B43CB9"/>
    <w:rsid w:val="00B46DE4"/>
    <w:rsid w:val="00B553DE"/>
    <w:rsid w:val="00B7391C"/>
    <w:rsid w:val="00B77EA1"/>
    <w:rsid w:val="00B923AF"/>
    <w:rsid w:val="00BB2F52"/>
    <w:rsid w:val="00BC4C8B"/>
    <w:rsid w:val="00BD219D"/>
    <w:rsid w:val="00BE3CB3"/>
    <w:rsid w:val="00BE580E"/>
    <w:rsid w:val="00C02204"/>
    <w:rsid w:val="00C0632A"/>
    <w:rsid w:val="00C10C96"/>
    <w:rsid w:val="00C1627A"/>
    <w:rsid w:val="00C42EBB"/>
    <w:rsid w:val="00C44584"/>
    <w:rsid w:val="00C55A35"/>
    <w:rsid w:val="00C73B48"/>
    <w:rsid w:val="00CA1313"/>
    <w:rsid w:val="00CA4987"/>
    <w:rsid w:val="00CD1F4A"/>
    <w:rsid w:val="00CD36E9"/>
    <w:rsid w:val="00CE3245"/>
    <w:rsid w:val="00CF43E2"/>
    <w:rsid w:val="00CF47ED"/>
    <w:rsid w:val="00D004F3"/>
    <w:rsid w:val="00D012F3"/>
    <w:rsid w:val="00D11450"/>
    <w:rsid w:val="00D2390D"/>
    <w:rsid w:val="00D34946"/>
    <w:rsid w:val="00D34A58"/>
    <w:rsid w:val="00D35A70"/>
    <w:rsid w:val="00D4158A"/>
    <w:rsid w:val="00D444D8"/>
    <w:rsid w:val="00D47BF0"/>
    <w:rsid w:val="00D567A2"/>
    <w:rsid w:val="00D5748E"/>
    <w:rsid w:val="00D645F0"/>
    <w:rsid w:val="00D66082"/>
    <w:rsid w:val="00D72FA5"/>
    <w:rsid w:val="00D849C6"/>
    <w:rsid w:val="00D92981"/>
    <w:rsid w:val="00DA0BF5"/>
    <w:rsid w:val="00DA210E"/>
    <w:rsid w:val="00DF5F51"/>
    <w:rsid w:val="00E16AED"/>
    <w:rsid w:val="00E2706C"/>
    <w:rsid w:val="00E91E54"/>
    <w:rsid w:val="00E93A15"/>
    <w:rsid w:val="00E95E8B"/>
    <w:rsid w:val="00EA37A0"/>
    <w:rsid w:val="00EB11DA"/>
    <w:rsid w:val="00EE36C2"/>
    <w:rsid w:val="00F1031D"/>
    <w:rsid w:val="00F13299"/>
    <w:rsid w:val="00F47E53"/>
    <w:rsid w:val="00F5484C"/>
    <w:rsid w:val="00FC2588"/>
    <w:rsid w:val="00FC35CC"/>
    <w:rsid w:val="00FC5E5D"/>
    <w:rsid w:val="00FD155D"/>
    <w:rsid w:val="00FD22F2"/>
    <w:rsid w:val="00FD3C5C"/>
    <w:rsid w:val="00FD451E"/>
    <w:rsid w:val="00FD541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DC8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3F23F4"/>
    <w:rPr>
      <w:vertAlign w:val="superscript"/>
    </w:rPr>
  </w:style>
  <w:style w:type="character" w:styleId="Wyrnienie">
    <w:name w:val="Emphasis"/>
    <w:uiPriority w:val="20"/>
    <w:qFormat/>
    <w:rsid w:val="007958A8"/>
    <w:rPr>
      <w:i/>
      <w:iCs/>
    </w:rPr>
  </w:style>
  <w:style w:type="character" w:customStyle="1" w:styleId="Wzmianka1">
    <w:name w:val="Wzmianka1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012F3"/>
  </w:style>
  <w:style w:type="character" w:customStyle="1" w:styleId="Kolorowalistaakcent1Znak">
    <w:name w:val="Kolorowa lista — akcent 1 Znak"/>
    <w:link w:val="Kolorowalistaakcent1"/>
    <w:uiPriority w:val="34"/>
    <w:locked/>
    <w:rsid w:val="00D012F3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D012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F3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F3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C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CF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3F23F4"/>
    <w:rPr>
      <w:vertAlign w:val="superscript"/>
    </w:rPr>
  </w:style>
  <w:style w:type="character" w:styleId="Wyrnienie">
    <w:name w:val="Emphasis"/>
    <w:uiPriority w:val="20"/>
    <w:qFormat/>
    <w:rsid w:val="007958A8"/>
    <w:rPr>
      <w:i/>
      <w:iCs/>
    </w:rPr>
  </w:style>
  <w:style w:type="character" w:customStyle="1" w:styleId="Wzmianka1">
    <w:name w:val="Wzmianka1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012F3"/>
  </w:style>
  <w:style w:type="character" w:customStyle="1" w:styleId="Kolorowalistaakcent1Znak">
    <w:name w:val="Kolorowa lista — akcent 1 Znak"/>
    <w:link w:val="Kolorowalistaakcent1"/>
    <w:uiPriority w:val="34"/>
    <w:locked/>
    <w:rsid w:val="00D012F3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D012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F3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F3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C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CF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lacje@lug.com.pl" TargetMode="External"/><Relationship Id="rId12" Type="http://schemas.openxmlformats.org/officeDocument/2006/relationships/hyperlink" Target="mailto:kamila.zyzkowska@intouchpr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ug.com.pl" TargetMode="External"/><Relationship Id="rId10" Type="http://schemas.openxmlformats.org/officeDocument/2006/relationships/hyperlink" Target="mailto:monika.bartoszak@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DBB8-AE6C-5E4A-B4AB-5525BF4B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5048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5878</CharactersWithSpaces>
  <SharedDoc>false</SharedDoc>
  <HLinks>
    <vt:vector size="24" baseType="variant">
      <vt:variant>
        <vt:i4>3670108</vt:i4>
      </vt:variant>
      <vt:variant>
        <vt:i4>9</vt:i4>
      </vt:variant>
      <vt:variant>
        <vt:i4>0</vt:i4>
      </vt:variant>
      <vt:variant>
        <vt:i4>5</vt:i4>
      </vt:variant>
      <vt:variant>
        <vt:lpwstr>mailto:kamila.zyzkowska@intouchpr.pl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mailto:relacje@lug.com.pl</vt:lpwstr>
      </vt:variant>
      <vt:variant>
        <vt:lpwstr/>
      </vt:variant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Szczesniak</dc:creator>
  <cp:keywords/>
  <dc:description/>
  <cp:lastModifiedBy>Kamila Górczyńska-Żyżkowska</cp:lastModifiedBy>
  <cp:revision>3</cp:revision>
  <cp:lastPrinted>2017-04-10T11:10:00Z</cp:lastPrinted>
  <dcterms:created xsi:type="dcterms:W3CDTF">2017-05-23T11:56:00Z</dcterms:created>
  <dcterms:modified xsi:type="dcterms:W3CDTF">2017-05-23T11:56:00Z</dcterms:modified>
</cp:coreProperties>
</file>