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43B1" w14:textId="77777777"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14:paraId="1371BA84" w14:textId="4B402302" w:rsidR="005B1722" w:rsidRDefault="008A60FF" w:rsidP="00DF5F51">
      <w:pPr>
        <w:jc w:val="right"/>
        <w:rPr>
          <w:rFonts w:ascii="Calibri" w:hAnsi="Calibri"/>
          <w:sz w:val="22"/>
          <w:szCs w:val="22"/>
        </w:rPr>
      </w:pPr>
      <w:bookmarkStart w:id="0" w:name="_GoBack"/>
      <w:r w:rsidRPr="008E7E80">
        <w:rPr>
          <w:rFonts w:ascii="Calibri" w:hAnsi="Calibri"/>
          <w:sz w:val="22"/>
          <w:szCs w:val="22"/>
        </w:rPr>
        <w:t>2</w:t>
      </w:r>
      <w:r w:rsidR="006213F3" w:rsidRPr="008E7E80">
        <w:rPr>
          <w:rFonts w:ascii="Calibri" w:hAnsi="Calibri"/>
          <w:sz w:val="22"/>
          <w:szCs w:val="22"/>
        </w:rPr>
        <w:t>3.</w:t>
      </w:r>
      <w:r w:rsidR="00C73B48" w:rsidRPr="008E7E80">
        <w:rPr>
          <w:rFonts w:ascii="Calibri" w:hAnsi="Calibri"/>
          <w:sz w:val="22"/>
          <w:szCs w:val="22"/>
        </w:rPr>
        <w:t>0</w:t>
      </w:r>
      <w:r w:rsidR="00FC35CC" w:rsidRPr="008E7E80">
        <w:rPr>
          <w:rFonts w:ascii="Calibri" w:hAnsi="Calibri"/>
          <w:sz w:val="22"/>
          <w:szCs w:val="22"/>
        </w:rPr>
        <w:t>5</w:t>
      </w:r>
      <w:r w:rsidR="00DF5F51" w:rsidRPr="008E7E80">
        <w:rPr>
          <w:rFonts w:ascii="Calibri" w:hAnsi="Calibri"/>
          <w:sz w:val="22"/>
          <w:szCs w:val="22"/>
        </w:rPr>
        <w:t>.201</w:t>
      </w:r>
      <w:r w:rsidR="00C73B48" w:rsidRPr="008E7E80">
        <w:rPr>
          <w:rFonts w:ascii="Calibri" w:hAnsi="Calibri"/>
          <w:sz w:val="22"/>
          <w:szCs w:val="22"/>
        </w:rPr>
        <w:t>7</w:t>
      </w:r>
      <w:r w:rsidR="00DF5F51" w:rsidRPr="008E7E80">
        <w:rPr>
          <w:rFonts w:ascii="Calibri" w:hAnsi="Calibri"/>
          <w:sz w:val="22"/>
          <w:szCs w:val="22"/>
        </w:rPr>
        <w:t>r.</w:t>
      </w:r>
      <w:bookmarkEnd w:id="0"/>
    </w:p>
    <w:p w14:paraId="0D0D0BEF" w14:textId="77777777"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14:paraId="488F8938" w14:textId="77777777"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14:paraId="4590086E" w14:textId="77777777"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14:paraId="41A02AB2" w14:textId="77777777" w:rsidR="00FC35CC" w:rsidRPr="00D012F3" w:rsidRDefault="008A60FF" w:rsidP="00FC35CC">
      <w:pPr>
        <w:rPr>
          <w:rFonts w:ascii="Calibri" w:hAnsi="Calibri"/>
          <w:color w:val="595959"/>
          <w:sz w:val="26"/>
          <w:szCs w:val="26"/>
        </w:rPr>
      </w:pPr>
      <w:r w:rsidRPr="00D012F3">
        <w:rPr>
          <w:rFonts w:ascii="Calibri" w:hAnsi="Calibri"/>
          <w:color w:val="595959"/>
          <w:sz w:val="26"/>
          <w:szCs w:val="26"/>
        </w:rPr>
        <w:t xml:space="preserve">Skonsolidowane </w:t>
      </w:r>
      <w:r w:rsidR="00F47E53" w:rsidRPr="00D012F3">
        <w:rPr>
          <w:rFonts w:ascii="Calibri" w:hAnsi="Calibri"/>
          <w:color w:val="595959"/>
          <w:sz w:val="26"/>
          <w:szCs w:val="26"/>
        </w:rPr>
        <w:t>w</w:t>
      </w:r>
      <w:r w:rsidR="00FC35CC" w:rsidRPr="00D012F3">
        <w:rPr>
          <w:rFonts w:ascii="Calibri" w:hAnsi="Calibri"/>
          <w:color w:val="595959"/>
          <w:sz w:val="26"/>
          <w:szCs w:val="26"/>
        </w:rPr>
        <w:t xml:space="preserve">yniki Grupy Kapitałowej LUG S.A. za </w:t>
      </w:r>
      <w:r w:rsidRPr="00D012F3">
        <w:rPr>
          <w:rFonts w:ascii="Calibri" w:hAnsi="Calibri"/>
          <w:color w:val="595959"/>
          <w:sz w:val="26"/>
          <w:szCs w:val="26"/>
        </w:rPr>
        <w:t>2016 rok.</w:t>
      </w:r>
      <w:r w:rsidR="00FC35CC" w:rsidRPr="00D012F3">
        <w:rPr>
          <w:rFonts w:ascii="Calibri" w:hAnsi="Calibri"/>
          <w:color w:val="595959"/>
          <w:sz w:val="26"/>
          <w:szCs w:val="26"/>
        </w:rPr>
        <w:t xml:space="preserve"> </w:t>
      </w:r>
    </w:p>
    <w:p w14:paraId="3892B420" w14:textId="7BB99E87" w:rsidR="00D34A58" w:rsidRDefault="00AB016D" w:rsidP="00FC35CC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LUG S.A.</w:t>
      </w:r>
      <w:r w:rsidR="00D34A58">
        <w:rPr>
          <w:rFonts w:ascii="Calibri" w:hAnsi="Calibri"/>
          <w:b/>
          <w:sz w:val="34"/>
          <w:szCs w:val="34"/>
        </w:rPr>
        <w:t xml:space="preserve"> publikuje skonsolidowane wyniki Grupy za</w:t>
      </w:r>
      <w:r>
        <w:rPr>
          <w:rFonts w:ascii="Calibri" w:hAnsi="Calibri"/>
          <w:b/>
          <w:sz w:val="34"/>
          <w:szCs w:val="34"/>
        </w:rPr>
        <w:t xml:space="preserve"> rok</w:t>
      </w:r>
      <w:r w:rsidR="00D34A58">
        <w:rPr>
          <w:rFonts w:ascii="Calibri" w:hAnsi="Calibri"/>
          <w:b/>
          <w:sz w:val="34"/>
          <w:szCs w:val="34"/>
        </w:rPr>
        <w:t xml:space="preserve"> 2016</w:t>
      </w:r>
      <w:r>
        <w:rPr>
          <w:rFonts w:ascii="Calibri" w:hAnsi="Calibri"/>
          <w:b/>
          <w:sz w:val="34"/>
          <w:szCs w:val="34"/>
        </w:rPr>
        <w:t>,</w:t>
      </w:r>
      <w:r w:rsidR="00D34A58">
        <w:rPr>
          <w:rFonts w:ascii="Calibri" w:hAnsi="Calibri"/>
          <w:b/>
          <w:sz w:val="34"/>
          <w:szCs w:val="34"/>
        </w:rPr>
        <w:t xml:space="preserve"> podkreślając </w:t>
      </w:r>
      <w:r>
        <w:rPr>
          <w:rFonts w:ascii="Calibri" w:hAnsi="Calibri"/>
          <w:b/>
          <w:sz w:val="34"/>
          <w:szCs w:val="34"/>
        </w:rPr>
        <w:t>rekordowy, dziesięcioprocentowy</w:t>
      </w:r>
      <w:r w:rsidR="00807D37">
        <w:rPr>
          <w:rFonts w:ascii="Calibri" w:hAnsi="Calibri"/>
          <w:b/>
          <w:sz w:val="34"/>
          <w:szCs w:val="34"/>
        </w:rPr>
        <w:t xml:space="preserve"> wzrost przychodów</w:t>
      </w:r>
      <w:r w:rsidR="00A6743D">
        <w:rPr>
          <w:rFonts w:ascii="Calibri" w:hAnsi="Calibri"/>
          <w:b/>
          <w:sz w:val="34"/>
          <w:szCs w:val="34"/>
        </w:rPr>
        <w:t xml:space="preserve"> </w:t>
      </w:r>
    </w:p>
    <w:p w14:paraId="6F14F1B6" w14:textId="77777777" w:rsidR="00807D37" w:rsidRDefault="00807D37" w:rsidP="00FC35CC">
      <w:pPr>
        <w:rPr>
          <w:rFonts w:ascii="Calibri" w:hAnsi="Calibri"/>
          <w:b/>
          <w:noProof/>
          <w:sz w:val="22"/>
          <w:szCs w:val="22"/>
        </w:rPr>
      </w:pPr>
    </w:p>
    <w:p w14:paraId="1189B4E7" w14:textId="071B7265" w:rsidR="00D34A58" w:rsidRPr="000B3156" w:rsidRDefault="00D012F3" w:rsidP="00F13299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120,9 mln zł. przychodów</w:t>
      </w:r>
      <w:r w:rsidR="00D34A58" w:rsidRPr="000B3156">
        <w:rPr>
          <w:b/>
        </w:rPr>
        <w:t xml:space="preserve"> ze sprzedaży w 2016</w:t>
      </w:r>
      <w:r>
        <w:rPr>
          <w:b/>
        </w:rPr>
        <w:t xml:space="preserve"> r.</w:t>
      </w:r>
      <w:r w:rsidR="00D34A58" w:rsidRPr="000B3156">
        <w:rPr>
          <w:b/>
        </w:rPr>
        <w:t xml:space="preserve"> i</w:t>
      </w:r>
      <w:r>
        <w:rPr>
          <w:b/>
        </w:rPr>
        <w:t xml:space="preserve"> wzrost</w:t>
      </w:r>
      <w:r w:rsidR="00AB016D">
        <w:rPr>
          <w:b/>
        </w:rPr>
        <w:t xml:space="preserve"> o 10,</w:t>
      </w:r>
      <w:r w:rsidR="00A6743D">
        <w:rPr>
          <w:b/>
        </w:rPr>
        <w:t xml:space="preserve">29 </w:t>
      </w:r>
      <w:r w:rsidR="00D34A58" w:rsidRPr="000B3156">
        <w:rPr>
          <w:b/>
        </w:rPr>
        <w:t>proc. r/r</w:t>
      </w:r>
      <w:r>
        <w:rPr>
          <w:b/>
        </w:rPr>
        <w:t>;</w:t>
      </w:r>
    </w:p>
    <w:p w14:paraId="6AEDB70A" w14:textId="7AE70C15" w:rsidR="00D012F3" w:rsidRDefault="00D012F3" w:rsidP="00D012F3">
      <w:pPr>
        <w:pStyle w:val="Akapitzlist"/>
        <w:numPr>
          <w:ilvl w:val="0"/>
          <w:numId w:val="8"/>
        </w:numPr>
        <w:rPr>
          <w:b/>
        </w:rPr>
      </w:pPr>
      <w:r w:rsidRPr="000B3156">
        <w:rPr>
          <w:b/>
        </w:rPr>
        <w:t xml:space="preserve">39,1 % </w:t>
      </w:r>
      <w:r>
        <w:rPr>
          <w:b/>
        </w:rPr>
        <w:t>marży</w:t>
      </w:r>
      <w:r w:rsidRPr="000B3156">
        <w:rPr>
          <w:b/>
        </w:rPr>
        <w:t xml:space="preserve"> na sprzedaży brutto </w:t>
      </w:r>
      <w:r>
        <w:rPr>
          <w:b/>
        </w:rPr>
        <w:t>i wzrost o 18,30</w:t>
      </w:r>
      <w:r w:rsidR="00AB016D">
        <w:rPr>
          <w:b/>
        </w:rPr>
        <w:t xml:space="preserve"> proc.</w:t>
      </w:r>
      <w:r>
        <w:rPr>
          <w:b/>
        </w:rPr>
        <w:t xml:space="preserve"> r/r;</w:t>
      </w:r>
    </w:p>
    <w:p w14:paraId="3C93F285" w14:textId="17779000" w:rsidR="008A60FF" w:rsidRPr="00D012F3" w:rsidRDefault="009D1597" w:rsidP="00D012F3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S</w:t>
      </w:r>
      <w:r w:rsidR="008A60FF" w:rsidRPr="00D012F3">
        <w:rPr>
          <w:b/>
        </w:rPr>
        <w:t>truktura przychodów ze spr</w:t>
      </w:r>
      <w:r w:rsidR="00AB57EB" w:rsidRPr="00D012F3">
        <w:rPr>
          <w:b/>
        </w:rPr>
        <w:t>z</w:t>
      </w:r>
      <w:r w:rsidR="00E16AED">
        <w:rPr>
          <w:b/>
        </w:rPr>
        <w:t>edaży w 2016 roku wynosiła: 46 proc.</w:t>
      </w:r>
      <w:r w:rsidR="00AB57EB" w:rsidRPr="00D012F3">
        <w:rPr>
          <w:b/>
        </w:rPr>
        <w:t xml:space="preserve"> - kraj, 54</w:t>
      </w:r>
      <w:r w:rsidR="008A60FF" w:rsidRPr="00D012F3">
        <w:rPr>
          <w:b/>
        </w:rPr>
        <w:t xml:space="preserve"> </w:t>
      </w:r>
      <w:r w:rsidR="00E16AED">
        <w:rPr>
          <w:b/>
        </w:rPr>
        <w:t>proc.</w:t>
      </w:r>
      <w:r w:rsidR="008A60FF" w:rsidRPr="00D012F3">
        <w:rPr>
          <w:b/>
        </w:rPr>
        <w:t xml:space="preserve"> - eksport;</w:t>
      </w:r>
    </w:p>
    <w:p w14:paraId="12CBA3C6" w14:textId="4B49275B" w:rsidR="008A60FF" w:rsidRPr="000B3156" w:rsidRDefault="009D1597" w:rsidP="00F13299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W</w:t>
      </w:r>
      <w:r w:rsidR="00AB016D">
        <w:rPr>
          <w:b/>
        </w:rPr>
        <w:t>zrost dynamiki</w:t>
      </w:r>
      <w:r w:rsidR="008A60FF" w:rsidRPr="000B3156">
        <w:rPr>
          <w:b/>
        </w:rPr>
        <w:t xml:space="preserve"> przychodów w 2016 roku: kraj </w:t>
      </w:r>
      <w:r w:rsidR="00901F18">
        <w:rPr>
          <w:b/>
        </w:rPr>
        <w:t>+9,24</w:t>
      </w:r>
      <w:r w:rsidR="00AB57EB">
        <w:rPr>
          <w:b/>
        </w:rPr>
        <w:t xml:space="preserve"> </w:t>
      </w:r>
      <w:r w:rsidR="00E16AED">
        <w:rPr>
          <w:b/>
        </w:rPr>
        <w:t>proc.</w:t>
      </w:r>
      <w:r w:rsidR="008A60FF" w:rsidRPr="000B3156">
        <w:rPr>
          <w:b/>
        </w:rPr>
        <w:t xml:space="preserve">, eksport </w:t>
      </w:r>
      <w:r w:rsidR="00901F18">
        <w:rPr>
          <w:b/>
        </w:rPr>
        <w:t>+11,2</w:t>
      </w:r>
      <w:r w:rsidR="00E16AED">
        <w:rPr>
          <w:b/>
        </w:rPr>
        <w:t>0 proc.</w:t>
      </w:r>
      <w:r w:rsidR="008A60FF" w:rsidRPr="000B3156">
        <w:rPr>
          <w:b/>
        </w:rPr>
        <w:t>;</w:t>
      </w:r>
    </w:p>
    <w:p w14:paraId="29569309" w14:textId="4D83A995" w:rsidR="00D012F3" w:rsidRPr="00D012F3" w:rsidRDefault="00D012F3" w:rsidP="00D012F3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9,94</w:t>
      </w:r>
      <w:r w:rsidRPr="00D012F3">
        <w:rPr>
          <w:b/>
        </w:rPr>
        <w:t xml:space="preserve"> mln zł zysku EBITDA i 3,01 mln zł zysku netto </w:t>
      </w:r>
    </w:p>
    <w:p w14:paraId="79538B45" w14:textId="7C9704BE" w:rsidR="009D1597" w:rsidRDefault="009D1597" w:rsidP="009D1597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</w:t>
      </w:r>
      <w:r w:rsidR="00A6743D" w:rsidRPr="00A6743D">
        <w:rPr>
          <w:b/>
        </w:rPr>
        <w:t>prawy LED zdom</w:t>
      </w:r>
      <w:r w:rsidR="00E16AED">
        <w:rPr>
          <w:b/>
        </w:rPr>
        <w:t>inowały sprzedaż, stanowiąc  87 proc.</w:t>
      </w:r>
      <w:r w:rsidR="00A6743D" w:rsidRPr="00A6743D">
        <w:rPr>
          <w:b/>
        </w:rPr>
        <w:t xml:space="preserve"> całkowitej sprzedaży opraw oświetleniowych</w:t>
      </w:r>
      <w:r w:rsidR="001306AE">
        <w:rPr>
          <w:b/>
        </w:rPr>
        <w:t xml:space="preserve"> na koniec 2016 roku</w:t>
      </w:r>
    </w:p>
    <w:p w14:paraId="1512CF74" w14:textId="77777777" w:rsidR="009D1597" w:rsidRPr="00D66082" w:rsidRDefault="009D1597" w:rsidP="00D92981">
      <w:pPr>
        <w:pStyle w:val="Akapitzlist"/>
        <w:numPr>
          <w:ilvl w:val="0"/>
          <w:numId w:val="8"/>
        </w:numPr>
        <w:jc w:val="both"/>
        <w:rPr>
          <w:rFonts w:cs="Arial"/>
          <w:b/>
          <w:lang w:val="en-US"/>
        </w:rPr>
      </w:pPr>
      <w:proofErr w:type="spellStart"/>
      <w:r w:rsidRPr="00D66082">
        <w:rPr>
          <w:b/>
          <w:lang w:val="en-US"/>
        </w:rPr>
        <w:t>Dwie</w:t>
      </w:r>
      <w:proofErr w:type="spellEnd"/>
      <w:r w:rsidRPr="00D66082">
        <w:rPr>
          <w:b/>
          <w:lang w:val="en-US"/>
        </w:rPr>
        <w:t xml:space="preserve"> </w:t>
      </w:r>
      <w:proofErr w:type="spellStart"/>
      <w:r w:rsidRPr="00D66082">
        <w:rPr>
          <w:b/>
          <w:lang w:val="en-US"/>
        </w:rPr>
        <w:t>prestiżowe</w:t>
      </w:r>
      <w:proofErr w:type="spellEnd"/>
      <w:r w:rsidRPr="00D66082">
        <w:rPr>
          <w:b/>
          <w:lang w:val="en-US"/>
        </w:rPr>
        <w:t xml:space="preserve"> </w:t>
      </w:r>
      <w:proofErr w:type="spellStart"/>
      <w:r w:rsidRPr="00D66082">
        <w:rPr>
          <w:b/>
          <w:lang w:val="en-US"/>
        </w:rPr>
        <w:t>nagrody</w:t>
      </w:r>
      <w:proofErr w:type="spellEnd"/>
      <w:r w:rsidRPr="00D66082">
        <w:rPr>
          <w:b/>
          <w:lang w:val="en-US"/>
        </w:rPr>
        <w:t xml:space="preserve">: </w:t>
      </w:r>
      <w:proofErr w:type="spellStart"/>
      <w:r w:rsidRPr="00D66082">
        <w:rPr>
          <w:b/>
          <w:lang w:val="en-US"/>
        </w:rPr>
        <w:t>iF</w:t>
      </w:r>
      <w:proofErr w:type="spellEnd"/>
      <w:r w:rsidRPr="00D66082">
        <w:rPr>
          <w:b/>
          <w:lang w:val="en-US"/>
        </w:rPr>
        <w:t xml:space="preserve"> DESIGN AWARD 2016 </w:t>
      </w:r>
      <w:proofErr w:type="spellStart"/>
      <w:r w:rsidRPr="00D66082">
        <w:rPr>
          <w:b/>
          <w:lang w:val="en-US"/>
        </w:rPr>
        <w:t>i</w:t>
      </w:r>
      <w:proofErr w:type="spellEnd"/>
      <w:r w:rsidRPr="00D66082">
        <w:rPr>
          <w:rFonts w:asciiTheme="minorHAnsi" w:hAnsiTheme="minorHAnsi"/>
          <w:lang w:val="en-US"/>
        </w:rPr>
        <w:t xml:space="preserve"> </w:t>
      </w:r>
      <w:r w:rsidRPr="00D66082">
        <w:rPr>
          <w:b/>
          <w:lang w:val="en-US"/>
        </w:rPr>
        <w:t xml:space="preserve">TOP DESIGN AWARD 2016  </w:t>
      </w:r>
    </w:p>
    <w:p w14:paraId="0DAD5283" w14:textId="77777777" w:rsidR="009D1597" w:rsidRPr="00D66082" w:rsidRDefault="009D1597" w:rsidP="009D1597">
      <w:pPr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0AA7D2C6" w14:textId="47FC4FE6" w:rsidR="001F534C" w:rsidRPr="00D7311E" w:rsidRDefault="00A6743D" w:rsidP="001F534C">
      <w:pPr>
        <w:ind w:right="-2"/>
        <w:jc w:val="both"/>
        <w:rPr>
          <w:color w:val="FF0000"/>
          <w:highlight w:val="yellow"/>
        </w:rPr>
      </w:pPr>
      <w:r w:rsidRPr="009D1597">
        <w:rPr>
          <w:rFonts w:ascii="Calibri" w:eastAsia="Calibri" w:hAnsi="Calibri"/>
          <w:b/>
          <w:sz w:val="22"/>
          <w:szCs w:val="22"/>
          <w:lang w:eastAsia="en-US"/>
        </w:rPr>
        <w:t>Notowan</w:t>
      </w:r>
      <w:r w:rsidR="008B5CF4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na rynku NewConnect </w:t>
      </w:r>
      <w:r w:rsidR="00E16AED">
        <w:rPr>
          <w:rFonts w:ascii="Calibri" w:eastAsia="Calibri" w:hAnsi="Calibri"/>
          <w:b/>
          <w:sz w:val="22"/>
          <w:szCs w:val="22"/>
          <w:lang w:eastAsia="en-US"/>
        </w:rPr>
        <w:t xml:space="preserve">Grupa Kapitałowa 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>LUG S.A.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czołowy europejski producent 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>profesjonalnych rozwiązań oświetleniowych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>opublikował</w:t>
      </w:r>
      <w:r w:rsidR="00E16AED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B3156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skonsolidowane 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wyniki </w:t>
      </w:r>
      <w:r w:rsidR="000B3156" w:rsidRPr="009D1597">
        <w:rPr>
          <w:rFonts w:ascii="Calibri" w:eastAsia="Calibri" w:hAnsi="Calibri"/>
          <w:b/>
          <w:sz w:val="22"/>
          <w:szCs w:val="22"/>
          <w:lang w:eastAsia="en-US"/>
        </w:rPr>
        <w:t>za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 xml:space="preserve"> rok</w:t>
      </w:r>
      <w:r w:rsidR="000B3156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2016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9D1597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W porównaniu 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z </w:t>
      </w:r>
      <w:r w:rsidR="00AB016D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rokiem 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>2015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D012F3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przychody wzrosły o 10,29 proc. 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i wyniosły </w:t>
      </w:r>
      <w:r w:rsidR="00D012F3" w:rsidRPr="009D1597">
        <w:rPr>
          <w:rFonts w:ascii="Calibri" w:eastAsia="Calibri" w:hAnsi="Calibri"/>
          <w:b/>
          <w:sz w:val="22"/>
          <w:szCs w:val="22"/>
          <w:lang w:eastAsia="en-US"/>
        </w:rPr>
        <w:t>120,9 mln zł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8B5CF4">
        <w:rPr>
          <w:rFonts w:ascii="Calibri" w:eastAsia="Calibri" w:hAnsi="Calibri"/>
          <w:b/>
          <w:sz w:val="22"/>
          <w:szCs w:val="22"/>
          <w:lang w:eastAsia="en-US"/>
        </w:rPr>
        <w:t>Wynik EBITDA wyniósł niemal 10 mln zł, a z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ysk netto </w:t>
      </w:r>
      <w:r w:rsidR="00B46DE4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osiągnął poziom </w:t>
      </w:r>
      <w:r w:rsidR="00D012F3" w:rsidRPr="009D1597">
        <w:rPr>
          <w:rFonts w:ascii="Calibri" w:eastAsia="Calibri" w:hAnsi="Calibri"/>
          <w:b/>
          <w:sz w:val="22"/>
          <w:szCs w:val="22"/>
          <w:lang w:eastAsia="en-US"/>
        </w:rPr>
        <w:t>3,01 mln zł.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Rekordowe wyniki sprzedaży i wzrost marży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FC35CC" w:rsidRPr="009D1597">
        <w:rPr>
          <w:rFonts w:ascii="Calibri" w:eastAsia="Calibri" w:hAnsi="Calibri"/>
          <w:b/>
          <w:sz w:val="22"/>
          <w:szCs w:val="22"/>
          <w:lang w:eastAsia="en-US"/>
        </w:rPr>
        <w:t>oddają tendencje rynkowe związane ze znaczącym wzroste</w:t>
      </w:r>
      <w:r w:rsidR="00E16AED">
        <w:rPr>
          <w:rFonts w:ascii="Calibri" w:eastAsia="Calibri" w:hAnsi="Calibri"/>
          <w:b/>
          <w:sz w:val="22"/>
          <w:szCs w:val="22"/>
          <w:lang w:eastAsia="en-US"/>
        </w:rPr>
        <w:t>m i rozwojem rynku produktów diodowych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>, k</w:t>
      </w:r>
      <w:r w:rsidR="00AB016D">
        <w:rPr>
          <w:rFonts w:ascii="Calibri" w:eastAsia="Calibri" w:hAnsi="Calibri"/>
          <w:b/>
          <w:sz w:val="22"/>
          <w:szCs w:val="22"/>
          <w:lang w:eastAsia="en-US"/>
        </w:rPr>
        <w:t>tórych produkcja stanowi dziś 87</w:t>
      </w:r>
      <w:r w:rsidR="00D92981" w:rsidRPr="009D1597">
        <w:rPr>
          <w:rFonts w:ascii="Calibri" w:eastAsia="Calibri" w:hAnsi="Calibri"/>
          <w:b/>
          <w:sz w:val="22"/>
          <w:szCs w:val="22"/>
          <w:lang w:eastAsia="en-US"/>
        </w:rPr>
        <w:t xml:space="preserve"> proc. oferty spółki.</w:t>
      </w:r>
      <w:r w:rsidR="001F534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21AFD080" w14:textId="77777777" w:rsidR="00D92981" w:rsidRPr="00D7311E" w:rsidRDefault="00D92981" w:rsidP="00D92981">
      <w:pPr>
        <w:ind w:right="-2"/>
        <w:jc w:val="both"/>
        <w:rPr>
          <w:rFonts w:cs="Calibri"/>
          <w:highlight w:val="yellow"/>
        </w:rPr>
      </w:pPr>
    </w:p>
    <w:p w14:paraId="70DE7173" w14:textId="3B4CC48F" w:rsidR="00D92981" w:rsidRPr="009D1597" w:rsidRDefault="00D92981" w:rsidP="00D92981">
      <w:pPr>
        <w:ind w:right="-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Zysk z działalności operacyjnej wzrósł z poziomu </w:t>
      </w:r>
      <w:r w:rsidR="001F534C">
        <w:rPr>
          <w:rFonts w:ascii="Calibri" w:eastAsia="Calibri" w:hAnsi="Calibri"/>
          <w:sz w:val="22"/>
          <w:szCs w:val="22"/>
          <w:lang w:eastAsia="en-US"/>
        </w:rPr>
        <w:t>5,78 mln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zł w roku 2015</w:t>
      </w:r>
      <w:r w:rsidR="00AB016D">
        <w:rPr>
          <w:rFonts w:ascii="Calibri" w:eastAsia="Calibri" w:hAnsi="Calibri"/>
          <w:sz w:val="22"/>
          <w:szCs w:val="22"/>
          <w:lang w:eastAsia="en-US"/>
        </w:rPr>
        <w:t>,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do poziomu </w:t>
      </w:r>
      <w:r w:rsidR="001F534C">
        <w:rPr>
          <w:rFonts w:ascii="Calibri" w:eastAsia="Calibri" w:hAnsi="Calibri"/>
          <w:sz w:val="22"/>
          <w:szCs w:val="22"/>
          <w:lang w:eastAsia="en-US"/>
        </w:rPr>
        <w:t>5,91 mln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zł </w:t>
      </w:r>
      <w:r w:rsidR="00E16AED">
        <w:rPr>
          <w:rFonts w:ascii="Calibri" w:eastAsia="Calibri" w:hAnsi="Calibri"/>
          <w:sz w:val="22"/>
          <w:szCs w:val="22"/>
          <w:lang w:eastAsia="en-US"/>
        </w:rPr>
        <w:br/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AB016D" w:rsidRPr="009D1597">
        <w:rPr>
          <w:rFonts w:ascii="Calibri" w:eastAsia="Calibri" w:hAnsi="Calibri"/>
          <w:sz w:val="22"/>
          <w:szCs w:val="22"/>
          <w:lang w:eastAsia="en-US"/>
        </w:rPr>
        <w:t xml:space="preserve">roku </w:t>
      </w:r>
      <w:r w:rsidRPr="009D1597">
        <w:rPr>
          <w:rFonts w:ascii="Calibri" w:eastAsia="Calibri" w:hAnsi="Calibri"/>
          <w:sz w:val="22"/>
          <w:szCs w:val="22"/>
          <w:lang w:eastAsia="en-US"/>
        </w:rPr>
        <w:t>2016</w:t>
      </w:r>
      <w:r w:rsidR="008B5CF4">
        <w:rPr>
          <w:rFonts w:ascii="Calibri" w:eastAsia="Calibri" w:hAnsi="Calibri"/>
          <w:sz w:val="22"/>
          <w:szCs w:val="22"/>
          <w:lang w:eastAsia="en-US"/>
        </w:rPr>
        <w:t xml:space="preserve">, czyli o </w:t>
      </w:r>
      <w:r w:rsidR="001F534C">
        <w:rPr>
          <w:rFonts w:ascii="Calibri" w:eastAsia="Calibri" w:hAnsi="Calibri"/>
          <w:sz w:val="22"/>
          <w:szCs w:val="22"/>
          <w:lang w:eastAsia="en-US"/>
        </w:rPr>
        <w:t>2,5 proc.</w:t>
      </w:r>
      <w:r w:rsidR="00AB016D">
        <w:rPr>
          <w:rFonts w:ascii="Calibri" w:eastAsia="Calibri" w:hAnsi="Calibri"/>
          <w:sz w:val="22"/>
          <w:szCs w:val="22"/>
          <w:lang w:eastAsia="en-US"/>
        </w:rPr>
        <w:t xml:space="preserve"> rok do roku.</w:t>
      </w:r>
      <w:r w:rsidR="001F53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016D">
        <w:rPr>
          <w:rFonts w:ascii="Calibri" w:eastAsia="Calibri" w:hAnsi="Calibri"/>
          <w:sz w:val="22"/>
          <w:szCs w:val="22"/>
          <w:lang w:eastAsia="en-US"/>
        </w:rPr>
        <w:t>Zysk netto w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wyniósł </w:t>
      </w:r>
      <w:r w:rsidR="009D1597">
        <w:rPr>
          <w:rFonts w:ascii="Calibri" w:eastAsia="Calibri" w:hAnsi="Calibri"/>
          <w:sz w:val="22"/>
          <w:szCs w:val="22"/>
          <w:lang w:eastAsia="en-US"/>
        </w:rPr>
        <w:t>3,01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D1597">
        <w:rPr>
          <w:rFonts w:ascii="Calibri" w:eastAsia="Calibri" w:hAnsi="Calibri"/>
          <w:sz w:val="22"/>
          <w:szCs w:val="22"/>
          <w:lang w:eastAsia="en-US"/>
        </w:rPr>
        <w:t>mln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zł. </w:t>
      </w:r>
      <w:r w:rsidR="00D012F3" w:rsidRPr="009D1597">
        <w:rPr>
          <w:rFonts w:ascii="Calibri" w:eastAsia="Calibri" w:hAnsi="Calibri"/>
          <w:sz w:val="22"/>
          <w:szCs w:val="22"/>
          <w:lang w:eastAsia="en-US"/>
        </w:rPr>
        <w:t xml:space="preserve">Wynik ten </w:t>
      </w:r>
      <w:r w:rsidR="00E16AED">
        <w:rPr>
          <w:rFonts w:ascii="Calibri" w:eastAsia="Calibri" w:hAnsi="Calibri"/>
          <w:sz w:val="22"/>
          <w:szCs w:val="22"/>
          <w:lang w:eastAsia="en-US"/>
        </w:rPr>
        <w:t>dodatkowo wzmacnia poprawa</w:t>
      </w:r>
      <w:r w:rsidR="00D012F3" w:rsidRPr="009D1597">
        <w:rPr>
          <w:rFonts w:ascii="Calibri" w:eastAsia="Calibri" w:hAnsi="Calibri"/>
          <w:sz w:val="22"/>
          <w:szCs w:val="22"/>
          <w:lang w:eastAsia="en-US"/>
        </w:rPr>
        <w:t xml:space="preserve"> marży na sprzedaży brutto do poziomu 39,1 proc. 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Zarówno EBIT, jak </w:t>
      </w:r>
      <w:r w:rsidR="00E16AED">
        <w:rPr>
          <w:rFonts w:ascii="Calibri" w:eastAsia="Calibri" w:hAnsi="Calibri"/>
          <w:sz w:val="22"/>
          <w:szCs w:val="22"/>
          <w:lang w:eastAsia="en-US"/>
        </w:rPr>
        <w:br/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i EBITDA wykazały w raportowanym okresie pozytywną dynamikę. </w:t>
      </w:r>
      <w:r w:rsidR="00E16AED">
        <w:rPr>
          <w:rFonts w:ascii="Calibri" w:eastAsia="Calibri" w:hAnsi="Calibri"/>
          <w:sz w:val="22"/>
          <w:szCs w:val="22"/>
          <w:lang w:eastAsia="en-US"/>
        </w:rPr>
        <w:t>Rentowność EBITDA wyniosła 8,23 proc. w porównaniu z 7,63 proc.</w:t>
      </w:r>
      <w:r w:rsidRPr="009D1597">
        <w:rPr>
          <w:rFonts w:ascii="Calibri" w:eastAsia="Calibri" w:hAnsi="Calibri"/>
          <w:sz w:val="22"/>
          <w:szCs w:val="22"/>
          <w:lang w:eastAsia="en-US"/>
        </w:rPr>
        <w:t xml:space="preserve"> w </w:t>
      </w:r>
      <w:r w:rsidR="00AB016D" w:rsidRPr="009D1597">
        <w:rPr>
          <w:rFonts w:ascii="Calibri" w:eastAsia="Calibri" w:hAnsi="Calibri"/>
          <w:sz w:val="22"/>
          <w:szCs w:val="22"/>
          <w:lang w:eastAsia="en-US"/>
        </w:rPr>
        <w:t xml:space="preserve">roku </w:t>
      </w:r>
      <w:r w:rsidRPr="009D1597">
        <w:rPr>
          <w:rFonts w:ascii="Calibri" w:eastAsia="Calibri" w:hAnsi="Calibri"/>
          <w:sz w:val="22"/>
          <w:szCs w:val="22"/>
          <w:lang w:eastAsia="en-US"/>
        </w:rPr>
        <w:t>2015.</w:t>
      </w:r>
    </w:p>
    <w:p w14:paraId="20B33666" w14:textId="768BD5B2" w:rsidR="009D1597" w:rsidRDefault="00EB11DA" w:rsidP="00E16AED">
      <w:pPr>
        <w:pStyle w:val="Normalny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- 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>Początek ubiegłego roku nie był dla nas pomyślny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. 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>P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esymistyczne nastroje inwestorów </w:t>
      </w:r>
      <w:r w:rsidR="009D1597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przełożyły się 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br/>
      </w:r>
      <w:r w:rsidR="009D1597" w:rsidRPr="009D1597">
        <w:rPr>
          <w:rFonts w:ascii="Calibri" w:eastAsia="Calibri" w:hAnsi="Calibri"/>
          <w:i/>
          <w:sz w:val="22"/>
          <w:szCs w:val="22"/>
          <w:lang w:eastAsia="en-US"/>
        </w:rPr>
        <w:t>na wstrzymanie realizacji wielu inwestycji, co skutkowało zmniejszenie</w:t>
      </w:r>
      <w:r w:rsidR="00AB016D">
        <w:rPr>
          <w:rFonts w:ascii="Calibri" w:eastAsia="Calibri" w:hAnsi="Calibri"/>
          <w:i/>
          <w:sz w:val="22"/>
          <w:szCs w:val="22"/>
          <w:lang w:eastAsia="en-US"/>
        </w:rPr>
        <w:t>m</w:t>
      </w:r>
      <w:r w:rsidR="009D1597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>portfela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zamówień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 xml:space="preserve">. </w:t>
      </w:r>
      <w:r w:rsidR="009D1597" w:rsidRPr="009D1597">
        <w:rPr>
          <w:rFonts w:ascii="Calibri" w:eastAsia="Calibri" w:hAnsi="Calibri"/>
          <w:i/>
          <w:sz w:val="22"/>
          <w:szCs w:val="22"/>
          <w:lang w:eastAsia="en-US"/>
        </w:rPr>
        <w:t>Nie zniechęciliśmy się jednak chwilowymi trudnościami i konsekwentnie realizowaliśmy przyjęte założenia rozwojowe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>, co zaowocowało rekordowym w historii spółki poziom</w:t>
      </w:r>
      <w:r w:rsidR="00E16AED">
        <w:rPr>
          <w:rFonts w:ascii="Calibri" w:eastAsia="Calibri" w:hAnsi="Calibri"/>
          <w:i/>
          <w:sz w:val="22"/>
          <w:szCs w:val="22"/>
          <w:lang w:eastAsia="en-US"/>
        </w:rPr>
        <w:t>em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przychodów w </w:t>
      </w:r>
      <w:r w:rsidR="00EA37A0" w:rsidRPr="009D1597">
        <w:rPr>
          <w:rFonts w:ascii="Calibri" w:eastAsia="Calibri" w:hAnsi="Calibri" w:hint="eastAsia"/>
          <w:i/>
          <w:sz w:val="22"/>
          <w:szCs w:val="22"/>
          <w:lang w:eastAsia="en-US"/>
        </w:rPr>
        <w:t>wysokości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blisko </w:t>
      </w:r>
      <w:r w:rsidR="001306AE" w:rsidRPr="009D1597">
        <w:rPr>
          <w:rFonts w:ascii="Calibri" w:eastAsia="Calibri" w:hAnsi="Calibri"/>
          <w:i/>
          <w:sz w:val="22"/>
          <w:szCs w:val="22"/>
          <w:lang w:eastAsia="en-US"/>
        </w:rPr>
        <w:t>12</w:t>
      </w:r>
      <w:r w:rsidR="001306AE">
        <w:rPr>
          <w:rFonts w:ascii="Calibri" w:eastAsia="Calibri" w:hAnsi="Calibri"/>
          <w:i/>
          <w:sz w:val="22"/>
          <w:szCs w:val="22"/>
          <w:lang w:eastAsia="en-US"/>
        </w:rPr>
        <w:t>1</w:t>
      </w:r>
      <w:r w:rsidR="001306AE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mln zł i marżą na </w:t>
      </w:r>
      <w:r w:rsidR="00EA37A0" w:rsidRPr="009D1597">
        <w:rPr>
          <w:rFonts w:ascii="Calibri" w:eastAsia="Calibri" w:hAnsi="Calibri" w:hint="eastAsia"/>
          <w:i/>
          <w:sz w:val="22"/>
          <w:szCs w:val="22"/>
          <w:lang w:eastAsia="en-US"/>
        </w:rPr>
        <w:t>poziomie</w:t>
      </w:r>
      <w:r w:rsidR="00EA37A0" w:rsidRPr="009D1597">
        <w:rPr>
          <w:rFonts w:ascii="Calibri" w:eastAsia="Calibri" w:hAnsi="Calibri"/>
          <w:i/>
          <w:sz w:val="22"/>
          <w:szCs w:val="22"/>
          <w:lang w:eastAsia="en-US"/>
        </w:rPr>
        <w:t xml:space="preserve"> 39 proc. 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 xml:space="preserve">– </w:t>
      </w:r>
      <w:r w:rsidR="009D1597" w:rsidRPr="009D1597">
        <w:rPr>
          <w:rFonts w:ascii="Calibri" w:eastAsia="Calibri" w:hAnsi="Calibri"/>
          <w:sz w:val="22"/>
          <w:szCs w:val="22"/>
          <w:lang w:eastAsia="en-US"/>
        </w:rPr>
        <w:t>komentuje wyniki</w:t>
      </w:r>
      <w:r w:rsidR="009D1597"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  <w:r w:rsidR="009D1597" w:rsidRPr="009D1597">
        <w:rPr>
          <w:rFonts w:ascii="Calibri" w:eastAsia="Calibri" w:hAnsi="Calibri"/>
          <w:sz w:val="22"/>
          <w:szCs w:val="22"/>
          <w:lang w:eastAsia="en-US"/>
        </w:rPr>
        <w:t xml:space="preserve">Ryszard </w:t>
      </w:r>
      <w:proofErr w:type="spellStart"/>
      <w:r w:rsidR="009D1597" w:rsidRPr="009D1597">
        <w:rPr>
          <w:rFonts w:ascii="Calibri" w:eastAsia="Calibri" w:hAnsi="Calibri"/>
          <w:sz w:val="22"/>
          <w:szCs w:val="22"/>
          <w:lang w:eastAsia="en-US"/>
        </w:rPr>
        <w:t>Wtorkowski</w:t>
      </w:r>
      <w:proofErr w:type="spellEnd"/>
      <w:r w:rsidR="009D1597" w:rsidRPr="009D1597">
        <w:rPr>
          <w:rFonts w:ascii="Calibri" w:eastAsia="Calibri" w:hAnsi="Calibri"/>
          <w:sz w:val="22"/>
          <w:szCs w:val="22"/>
          <w:lang w:eastAsia="en-US"/>
        </w:rPr>
        <w:t>, Prezes Zarządu LUG S.A.</w:t>
      </w:r>
    </w:p>
    <w:p w14:paraId="163AB702" w14:textId="77777777" w:rsidR="005C0F7B" w:rsidRDefault="005C0F7B" w:rsidP="005C0F7B">
      <w:pPr>
        <w:pStyle w:val="NormalnyWeb"/>
        <w:ind w:left="720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58B73EF" w14:textId="77777777" w:rsidR="005C0F7B" w:rsidRPr="009D1597" w:rsidRDefault="005C0F7B" w:rsidP="005C0F7B">
      <w:pPr>
        <w:pStyle w:val="NormalnyWeb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270627BC" w14:textId="2B4A690B" w:rsidR="00E16AED" w:rsidRDefault="00E16AED" w:rsidP="00E16AED">
      <w:pPr>
        <w:pStyle w:val="Normalny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sierpniu 2016 </w:t>
      </w:r>
      <w:r w:rsidR="00AB016D">
        <w:rPr>
          <w:rFonts w:ascii="Calibri" w:eastAsia="Calibri" w:hAnsi="Calibri"/>
          <w:sz w:val="22"/>
          <w:szCs w:val="22"/>
          <w:lang w:eastAsia="en-US"/>
        </w:rPr>
        <w:t>spółka zdecydowała</w:t>
      </w:r>
      <w:r w:rsidR="009D1597" w:rsidRPr="005C0F7B">
        <w:rPr>
          <w:rFonts w:ascii="Calibri" w:eastAsia="Calibri" w:hAnsi="Calibri"/>
          <w:sz w:val="22"/>
          <w:szCs w:val="22"/>
          <w:lang w:eastAsia="en-US"/>
        </w:rPr>
        <w:t xml:space="preserve"> o stopniowym wycofywaniu </w:t>
      </w:r>
      <w:r w:rsidR="00AB016D">
        <w:rPr>
          <w:rFonts w:ascii="Calibri" w:eastAsia="Calibri" w:hAnsi="Calibri"/>
          <w:sz w:val="22"/>
          <w:szCs w:val="22"/>
          <w:lang w:eastAsia="en-US"/>
        </w:rPr>
        <w:t>z oferty produktów bazujących</w:t>
      </w:r>
      <w:r w:rsidR="00AB016D" w:rsidRPr="00AB016D">
        <w:rPr>
          <w:rFonts w:ascii="Calibri" w:eastAsia="Calibri" w:hAnsi="Calibri"/>
          <w:sz w:val="22"/>
          <w:szCs w:val="22"/>
          <w:lang w:eastAsia="en-US"/>
        </w:rPr>
        <w:t xml:space="preserve"> na konwencjonalnych źródłach światła na rzecz technologii LED</w:t>
      </w:r>
      <w:r w:rsidR="00AB016D">
        <w:rPr>
          <w:rFonts w:ascii="Calibri" w:eastAsia="Calibri" w:hAnsi="Calibri"/>
          <w:sz w:val="22"/>
          <w:szCs w:val="22"/>
          <w:lang w:eastAsia="en-US"/>
        </w:rPr>
        <w:t>, która dziś stanowi już ponad 87 proc.</w:t>
      </w:r>
      <w:r w:rsidR="00AB016D" w:rsidRPr="00AB01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08B8">
        <w:rPr>
          <w:rFonts w:ascii="Calibri" w:eastAsia="Calibri" w:hAnsi="Calibri"/>
          <w:sz w:val="22"/>
          <w:szCs w:val="22"/>
          <w:lang w:eastAsia="en-US"/>
        </w:rPr>
        <w:t xml:space="preserve">sprzedaży opraw </w:t>
      </w:r>
      <w:r w:rsidR="00AB016D">
        <w:rPr>
          <w:rFonts w:ascii="Calibri" w:eastAsia="Calibri" w:hAnsi="Calibri"/>
          <w:sz w:val="22"/>
          <w:szCs w:val="22"/>
          <w:lang w:eastAsia="en-US"/>
        </w:rPr>
        <w:t>LUG</w:t>
      </w:r>
      <w:r w:rsidR="004408B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1EB781C" w14:textId="5049BC4C" w:rsidR="005C0F7B" w:rsidRPr="0091775C" w:rsidRDefault="005C0F7B" w:rsidP="00E16AED">
      <w:pPr>
        <w:pStyle w:val="NormalnyWeb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Według szacunków firmy konsultingowej Frost &amp; Sullivan, 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w roku 2016 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>wartość globalnego rynku LED osiągnęła poziom 47,3 miliarda dolarów. Zgodnie z prognozami w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roku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2020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rynek LED osiągnie wartość około 80 miliardów dolar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>ów, co stanowić będzie około 80 proc.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wartości całego rynku oświetleniowego. Do 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roku 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>2025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udzia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>ł ten ma wzrosną</w:t>
      </w:r>
      <w:r w:rsidR="0091775C">
        <w:rPr>
          <w:rFonts w:asciiTheme="majorHAnsi" w:eastAsia="Calibri" w:hAnsiTheme="majorHAnsi"/>
          <w:sz w:val="22"/>
          <w:szCs w:val="22"/>
          <w:lang w:eastAsia="en-US"/>
        </w:rPr>
        <w:t>ć do poziomu 98 proc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. Najwyższe tempo wzrostu prognozowane jest dla m.in. dla Ameryki Łacińskiej i Afryki.  </w:t>
      </w:r>
    </w:p>
    <w:p w14:paraId="316B8D4F" w14:textId="2977458D" w:rsidR="005C0F7B" w:rsidRPr="0091775C" w:rsidRDefault="00AB016D" w:rsidP="0091775C">
      <w:pPr>
        <w:pStyle w:val="NormalnyWeb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91775C">
        <w:rPr>
          <w:rFonts w:asciiTheme="majorHAnsi" w:eastAsia="Calibri" w:hAnsiTheme="majorHAnsi"/>
          <w:sz w:val="22"/>
          <w:szCs w:val="22"/>
          <w:lang w:eastAsia="en-US"/>
        </w:rPr>
        <w:t>Spółka zamknęła rok sukcesem</w:t>
      </w:r>
      <w:r w:rsidR="00E16AED" w:rsidRPr="0091775C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podpisując </w:t>
      </w:r>
      <w:r w:rsidR="005C0F7B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w IV kwartale 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>strategiczne porozumienie</w:t>
      </w:r>
      <w:r w:rsidR="005C0F7B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z Rządem Prowincji Misiones, 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>dotyczące</w:t>
      </w:r>
      <w:r w:rsidR="005C0F7B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budowy zakładu produkcyjnego w Argentynie.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C0F7B" w:rsidRPr="0091775C">
        <w:rPr>
          <w:rFonts w:asciiTheme="majorHAnsi" w:eastAsia="Calibri" w:hAnsiTheme="majorHAnsi"/>
          <w:sz w:val="22"/>
          <w:szCs w:val="22"/>
          <w:lang w:eastAsia="en-US"/>
        </w:rPr>
        <w:t>LUG dostarczy na tamtejszy rynek oprawy oświetleniowe o rekordowej wartości blisko 21 mln euro. Cały projekt będzie realizowany etapowo, przy jednoczesnym zwiększaniu obecności LUG w Argentynie poprzez rejestrację i dz</w:t>
      </w:r>
      <w:r w:rsidRPr="0091775C">
        <w:rPr>
          <w:rFonts w:asciiTheme="majorHAnsi" w:eastAsia="Calibri" w:hAnsiTheme="majorHAnsi"/>
          <w:sz w:val="22"/>
          <w:szCs w:val="22"/>
          <w:lang w:eastAsia="en-US"/>
        </w:rPr>
        <w:t>iałalność spółki LUG Argentina.</w:t>
      </w:r>
      <w:r w:rsidR="005C0F7B" w:rsidRPr="0091775C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</w:p>
    <w:p w14:paraId="0618DFF4" w14:textId="2D17EEE6" w:rsidR="009D1597" w:rsidRPr="009D1597" w:rsidRDefault="005C0F7B" w:rsidP="008C0BF2">
      <w:pPr>
        <w:widowControl w:val="0"/>
        <w:autoSpaceDE w:val="0"/>
        <w:autoSpaceDN w:val="0"/>
        <w:adjustRightInd w:val="0"/>
        <w:spacing w:after="240"/>
        <w:jc w:val="both"/>
        <w:rPr>
          <w:rFonts w:cs="TimesNewRoman"/>
          <w:highlight w:val="yellow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 xml:space="preserve">Jesteśmy obecni na blisko 70 rynkach całego globu, obserwujemy zachowania konsumentów i wiemy, ze </w:t>
      </w:r>
      <w:r w:rsidR="009D1597" w:rsidRPr="005C0F7B">
        <w:rPr>
          <w:rFonts w:ascii="Calibri" w:eastAsia="Calibri" w:hAnsi="Calibri"/>
          <w:i/>
          <w:sz w:val="22"/>
          <w:szCs w:val="22"/>
          <w:lang w:eastAsia="en-US"/>
        </w:rPr>
        <w:t>LED</w:t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>-</w:t>
      </w:r>
      <w:r w:rsidR="009D1597" w:rsidRPr="005C0F7B">
        <w:rPr>
          <w:rFonts w:ascii="Calibri" w:eastAsia="Calibri" w:hAnsi="Calibri"/>
          <w:i/>
          <w:sz w:val="22"/>
          <w:szCs w:val="22"/>
          <w:lang w:eastAsia="en-US"/>
        </w:rPr>
        <w:t xml:space="preserve">y stanowią najszybciej rozwijający się segment. </w:t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>O</w:t>
      </w:r>
      <w:r w:rsidR="009D1597" w:rsidRPr="005C0F7B">
        <w:rPr>
          <w:rFonts w:ascii="Calibri" w:eastAsia="Calibri" w:hAnsi="Calibri"/>
          <w:i/>
          <w:sz w:val="22"/>
          <w:szCs w:val="22"/>
          <w:lang w:eastAsia="en-US"/>
        </w:rPr>
        <w:t>świ</w:t>
      </w:r>
      <w:r w:rsidR="00E16AED">
        <w:rPr>
          <w:rFonts w:ascii="Calibri" w:eastAsia="Calibri" w:hAnsi="Calibri"/>
          <w:i/>
          <w:sz w:val="22"/>
          <w:szCs w:val="22"/>
          <w:lang w:eastAsia="en-US"/>
        </w:rPr>
        <w:t>etlenie oparte o rozwiązania diodowe</w:t>
      </w:r>
      <w:r w:rsidR="009D1597" w:rsidRPr="005C0F7B">
        <w:rPr>
          <w:rFonts w:ascii="Calibri" w:eastAsia="Calibri" w:hAnsi="Calibri"/>
          <w:i/>
          <w:sz w:val="22"/>
          <w:szCs w:val="22"/>
          <w:lang w:eastAsia="en-US"/>
        </w:rPr>
        <w:t xml:space="preserve"> jest najbardziej energooszczędną i wszechstronną technologią </w:t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 xml:space="preserve">wybieraną przez zagranicznych kontrahentów naszej spółki. Stąd decyzja o inwestycji w Argentynie i budowie zakładu produkcyjno-montażowego </w:t>
      </w:r>
      <w:r w:rsidR="0091775C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>w prowincji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E16AED">
        <w:rPr>
          <w:rFonts w:ascii="Calibri" w:eastAsia="Calibri" w:hAnsi="Calibri"/>
          <w:i/>
          <w:sz w:val="22"/>
          <w:szCs w:val="22"/>
          <w:lang w:eastAsia="en-US"/>
        </w:rPr>
        <w:t xml:space="preserve">Misiones. </w:t>
      </w:r>
      <w:r w:rsidR="006213F3">
        <w:rPr>
          <w:rFonts w:ascii="Calibri" w:eastAsia="Calibri" w:hAnsi="Calibri"/>
          <w:i/>
          <w:sz w:val="22"/>
          <w:szCs w:val="22"/>
          <w:lang w:eastAsia="en-US"/>
        </w:rPr>
        <w:t>Nie bez znaczenia jest też nasze dotychczasowe doświadczenia z działalności w Brazylii. Wierzymy, że synergia zdobytej wiedzy i znajomość kulturowej specyfiki regionu  pozwolą nam rozszerzyć</w:t>
      </w:r>
      <w:r w:rsidRPr="005C0F7B">
        <w:rPr>
          <w:rFonts w:ascii="Calibri" w:eastAsia="Calibri" w:hAnsi="Calibri"/>
          <w:i/>
          <w:sz w:val="22"/>
          <w:szCs w:val="22"/>
          <w:lang w:eastAsia="en-US"/>
        </w:rPr>
        <w:t xml:space="preserve"> grono odbiorców w całej Ameryce Południowej</w:t>
      </w:r>
      <w:r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="00EB11DA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EB11DA" w:rsidRPr="006213F3">
        <w:rPr>
          <w:rFonts w:ascii="Calibri" w:eastAsia="Calibri" w:hAnsi="Calibri"/>
          <w:sz w:val="22"/>
          <w:szCs w:val="22"/>
          <w:lang w:eastAsia="en-US"/>
        </w:rPr>
        <w:t>– podsumowuje</w:t>
      </w:r>
      <w:r w:rsidR="006213F3" w:rsidRPr="006213F3">
        <w:rPr>
          <w:rFonts w:ascii="Calibri" w:eastAsia="Calibri" w:hAnsi="Calibri"/>
          <w:sz w:val="22"/>
          <w:szCs w:val="22"/>
          <w:lang w:eastAsia="en-US"/>
        </w:rPr>
        <w:t xml:space="preserve"> Eryk </w:t>
      </w:r>
      <w:proofErr w:type="spellStart"/>
      <w:r w:rsidR="006213F3" w:rsidRPr="006213F3">
        <w:rPr>
          <w:rFonts w:ascii="Calibri" w:eastAsia="Calibri" w:hAnsi="Calibri"/>
          <w:sz w:val="22"/>
          <w:szCs w:val="22"/>
          <w:lang w:eastAsia="en-US"/>
        </w:rPr>
        <w:t>Wtorkowski</w:t>
      </w:r>
      <w:proofErr w:type="spellEnd"/>
      <w:r w:rsidR="006213F3" w:rsidRPr="006213F3">
        <w:rPr>
          <w:rFonts w:ascii="Calibri" w:eastAsia="Calibri" w:hAnsi="Calibri"/>
          <w:sz w:val="22"/>
          <w:szCs w:val="22"/>
          <w:lang w:eastAsia="en-US"/>
        </w:rPr>
        <w:t>, Dyrektor ds. rozwoju Grupy Kapitałowej LUG S.A.</w:t>
      </w:r>
      <w:r w:rsidR="006213F3" w:rsidRPr="006213F3">
        <w:rPr>
          <w:rFonts w:ascii="Calibri" w:hAnsi="Calibri" w:cs="Calibri"/>
          <w:color w:val="000000"/>
          <w:sz w:val="29"/>
          <w:szCs w:val="29"/>
          <w:lang w:val="en-US"/>
        </w:rPr>
        <w:t xml:space="preserve"> </w:t>
      </w:r>
    </w:p>
    <w:p w14:paraId="049B2A22" w14:textId="77777777" w:rsidR="006213F3" w:rsidRDefault="006213F3" w:rsidP="006213F3">
      <w:pPr>
        <w:pStyle w:val="Tekstkomentarza"/>
        <w:rPr>
          <w:rFonts w:asciiTheme="majorHAnsi" w:hAnsiTheme="majorHAnsi"/>
          <w:sz w:val="22"/>
          <w:szCs w:val="22"/>
        </w:rPr>
      </w:pPr>
      <w:r w:rsidRPr="006213F3">
        <w:rPr>
          <w:rFonts w:asciiTheme="majorHAnsi" w:hAnsiTheme="majorHAnsi" w:cs="Tahoma"/>
          <w:bCs/>
          <w:sz w:val="22"/>
          <w:szCs w:val="22"/>
          <w:lang w:bidi="pl-PL"/>
        </w:rPr>
        <w:t xml:space="preserve">Pełną wersję  </w:t>
      </w:r>
      <w:r w:rsidRPr="006213F3">
        <w:rPr>
          <w:rFonts w:asciiTheme="majorHAnsi" w:hAnsiTheme="majorHAnsi"/>
          <w:sz w:val="22"/>
          <w:szCs w:val="22"/>
        </w:rPr>
        <w:t xml:space="preserve">raportu rocznego za rok 2016 można pobrać i obejrzeć w wersji online na dedykowanej stronie:  </w:t>
      </w:r>
      <w:hyperlink r:id="rId9" w:history="1">
        <w:r w:rsidRPr="006443F9">
          <w:rPr>
            <w:rStyle w:val="Hipercze"/>
            <w:rFonts w:asciiTheme="majorHAnsi" w:hAnsiTheme="majorHAnsi"/>
            <w:sz w:val="22"/>
            <w:szCs w:val="22"/>
          </w:rPr>
          <w:t>www.raportroczny2016.lug.com.pl</w:t>
        </w:r>
      </w:hyperlink>
    </w:p>
    <w:p w14:paraId="508FDA38" w14:textId="77777777" w:rsidR="00F13299" w:rsidRPr="001F3232" w:rsidRDefault="00F13299" w:rsidP="00FC35CC">
      <w:pPr>
        <w:rPr>
          <w:rFonts w:ascii="Calibri" w:hAnsi="Calibri"/>
          <w:b/>
          <w:noProof/>
          <w:szCs w:val="22"/>
        </w:rPr>
      </w:pPr>
    </w:p>
    <w:p w14:paraId="3675E622" w14:textId="5B61D24B" w:rsidR="00FC35CC" w:rsidRPr="0091775C" w:rsidRDefault="00FC35CC" w:rsidP="00FC35CC">
      <w:pPr>
        <w:rPr>
          <w:rFonts w:ascii="Calibri" w:hAnsi="Calibri"/>
          <w:noProof/>
          <w:sz w:val="20"/>
          <w:szCs w:val="20"/>
        </w:rPr>
      </w:pPr>
      <w:r w:rsidRPr="0091775C">
        <w:rPr>
          <w:rFonts w:ascii="Calibri" w:hAnsi="Calibri"/>
          <w:b/>
          <w:noProof/>
          <w:sz w:val="20"/>
          <w:szCs w:val="20"/>
        </w:rPr>
        <w:t xml:space="preserve">Wybrane </w:t>
      </w:r>
      <w:r w:rsidR="007737EB" w:rsidRPr="0091775C">
        <w:rPr>
          <w:rFonts w:ascii="Calibri" w:hAnsi="Calibri"/>
          <w:b/>
          <w:noProof/>
          <w:sz w:val="20"/>
          <w:szCs w:val="20"/>
        </w:rPr>
        <w:t xml:space="preserve">skonsolidowane </w:t>
      </w:r>
      <w:r w:rsidRPr="0091775C">
        <w:rPr>
          <w:rFonts w:ascii="Calibri" w:hAnsi="Calibri"/>
          <w:b/>
          <w:noProof/>
          <w:sz w:val="20"/>
          <w:szCs w:val="20"/>
        </w:rPr>
        <w:t xml:space="preserve">dane finansowe </w:t>
      </w:r>
      <w:r w:rsidR="007737EB" w:rsidRPr="0091775C">
        <w:rPr>
          <w:rFonts w:ascii="Calibri" w:hAnsi="Calibri"/>
          <w:b/>
          <w:noProof/>
          <w:sz w:val="20"/>
          <w:szCs w:val="20"/>
        </w:rPr>
        <w:t>Grupy Kapitałowej LUG S.A.</w:t>
      </w:r>
      <w:r w:rsidRPr="0091775C">
        <w:rPr>
          <w:rFonts w:ascii="Calibri" w:hAnsi="Calibri"/>
          <w:noProof/>
          <w:sz w:val="20"/>
          <w:szCs w:val="20"/>
        </w:rPr>
        <w:t>[tys. PLN]</w:t>
      </w:r>
    </w:p>
    <w:p w14:paraId="640A8608" w14:textId="77777777" w:rsidR="007958A8" w:rsidRPr="001F3232" w:rsidRDefault="007958A8" w:rsidP="00B553DE">
      <w:pPr>
        <w:jc w:val="both"/>
        <w:rPr>
          <w:rFonts w:ascii="Calibri" w:hAnsi="Calibri" w:cs="Calibri"/>
          <w:sz w:val="22"/>
        </w:rPr>
      </w:pPr>
    </w:p>
    <w:tbl>
      <w:tblPr>
        <w:tblW w:w="4918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2007"/>
        <w:gridCol w:w="1844"/>
        <w:gridCol w:w="1695"/>
      </w:tblGrid>
      <w:tr w:rsidR="008E7E80" w:rsidRPr="005775EF" w14:paraId="5621795E" w14:textId="77777777" w:rsidTr="008E7E80">
        <w:trPr>
          <w:trHeight w:val="225"/>
        </w:trPr>
        <w:tc>
          <w:tcPr>
            <w:tcW w:w="2013" w:type="pct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2C4DF64" w14:textId="77777777" w:rsidR="00A6743D" w:rsidRPr="005775EF" w:rsidRDefault="00A6743D" w:rsidP="00A6743D"/>
        </w:tc>
        <w:tc>
          <w:tcPr>
            <w:tcW w:w="1081" w:type="pct"/>
            <w:tcBorders>
              <w:top w:val="double" w:sz="6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55BAA3D1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775E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993" w:type="pct"/>
            <w:tcBorders>
              <w:top w:val="double" w:sz="6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742B745F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775E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913" w:type="pct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auto" w:fill="C00000"/>
            <w:vAlign w:val="center"/>
            <w:hideMark/>
          </w:tcPr>
          <w:p w14:paraId="421C637D" w14:textId="2B5538E9" w:rsidR="00A6743D" w:rsidRPr="005775EF" w:rsidRDefault="00A6743D" w:rsidP="008B5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7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Dynamika (</w:t>
            </w:r>
            <w:r w:rsidR="008B5CF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  <w:r w:rsidRPr="00A67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8E7E80" w:rsidRPr="005775EF" w14:paraId="0C3FEFD6" w14:textId="77777777" w:rsidTr="008E7E80">
        <w:trPr>
          <w:trHeight w:val="240"/>
        </w:trPr>
        <w:tc>
          <w:tcPr>
            <w:tcW w:w="2013" w:type="pct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39E583" w14:textId="77777777" w:rsidR="00A6743D" w:rsidRPr="005775EF" w:rsidRDefault="00A6743D" w:rsidP="00A6743D"/>
        </w:tc>
        <w:tc>
          <w:tcPr>
            <w:tcW w:w="10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1126AEAE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775E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[tys. PLN]</w:t>
            </w:r>
          </w:p>
        </w:tc>
        <w:tc>
          <w:tcPr>
            <w:tcW w:w="99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140805C2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775E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[tys. PLN]</w:t>
            </w:r>
          </w:p>
        </w:tc>
        <w:tc>
          <w:tcPr>
            <w:tcW w:w="913" w:type="pct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auto" w:fill="C00000"/>
            <w:vAlign w:val="center"/>
            <w:hideMark/>
          </w:tcPr>
          <w:p w14:paraId="12D18DF7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E80" w:rsidRPr="005775EF" w14:paraId="77FAF3B0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BE09393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Przychody ze sprzedaży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8A3609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109 581,08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E47C39E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120 857,05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noWrap/>
            <w:vAlign w:val="center"/>
            <w:hideMark/>
          </w:tcPr>
          <w:p w14:paraId="5228881F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110,29</w:t>
            </w:r>
          </w:p>
        </w:tc>
      </w:tr>
      <w:tr w:rsidR="008E7E80" w:rsidRPr="005775EF" w14:paraId="5801F2A7" w14:textId="77777777" w:rsidTr="008E7E80">
        <w:trPr>
          <w:trHeight w:val="315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38C63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DB012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3 606,88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2870FE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4 453,45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D9D9D9"/>
            <w:noWrap/>
            <w:vAlign w:val="center"/>
            <w:hideMark/>
          </w:tcPr>
          <w:p w14:paraId="1D837A92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123,47</w:t>
            </w:r>
          </w:p>
        </w:tc>
      </w:tr>
      <w:tr w:rsidR="008E7E80" w:rsidRPr="005775EF" w14:paraId="3ED5A40D" w14:textId="77777777" w:rsidTr="008E7E80">
        <w:trPr>
          <w:trHeight w:val="315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C6D2AC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(strata) ze sprzedaży brutto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F8D00CE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39 924,32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649D07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47 230,16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noWrap/>
            <w:vAlign w:val="center"/>
            <w:hideMark/>
          </w:tcPr>
          <w:p w14:paraId="61E8E63D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118,30</w:t>
            </w:r>
          </w:p>
        </w:tc>
      </w:tr>
      <w:tr w:rsidR="008E7E80" w:rsidRPr="005775EF" w14:paraId="4C1875F9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36429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(strata) ze sprzedaży netto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63FC8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3 963,31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988B0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4 098,03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D9D9D9"/>
            <w:noWrap/>
            <w:vAlign w:val="center"/>
            <w:hideMark/>
          </w:tcPr>
          <w:p w14:paraId="27ADA826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103,40</w:t>
            </w:r>
          </w:p>
        </w:tc>
      </w:tr>
      <w:tr w:rsidR="008E7E80" w:rsidRPr="005775EF" w14:paraId="1D8051CF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172A5D3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(strata) z działalności operacyjnej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6507DBA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4 752,77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8F3F587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5 495,42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noWrap/>
            <w:vAlign w:val="center"/>
            <w:hideMark/>
          </w:tcPr>
          <w:p w14:paraId="221F1549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115,63</w:t>
            </w:r>
          </w:p>
        </w:tc>
      </w:tr>
      <w:tr w:rsidR="008E7E80" w:rsidRPr="005775EF" w14:paraId="6067CA14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CF4631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z działalności gospodarczej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C4B764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4 142,69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BC5F41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3 960,54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D9D9D9"/>
            <w:noWrap/>
            <w:vAlign w:val="center"/>
            <w:hideMark/>
          </w:tcPr>
          <w:p w14:paraId="469F17FB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95,60</w:t>
            </w:r>
          </w:p>
        </w:tc>
      </w:tr>
      <w:tr w:rsidR="008E7E80" w:rsidRPr="005775EF" w14:paraId="2772187A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8C04F90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EBITDA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4B9092C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8 359,66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9A1D039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9 948,87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noWrap/>
            <w:vAlign w:val="center"/>
            <w:hideMark/>
          </w:tcPr>
          <w:p w14:paraId="2FBE027C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119,01</w:t>
            </w:r>
          </w:p>
        </w:tc>
      </w:tr>
      <w:tr w:rsidR="008E7E80" w:rsidRPr="005775EF" w14:paraId="35E146A6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1DA75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(strata) brutto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C6A80D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4 142,69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29C3A1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75EF">
              <w:rPr>
                <w:rFonts w:ascii="Calibri" w:hAnsi="Calibri" w:cs="Calibri"/>
                <w:sz w:val="20"/>
                <w:szCs w:val="20"/>
              </w:rPr>
              <w:t>3 960,54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D9D9D9"/>
            <w:noWrap/>
            <w:vAlign w:val="center"/>
            <w:hideMark/>
          </w:tcPr>
          <w:p w14:paraId="6D42C736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95,60</w:t>
            </w:r>
          </w:p>
        </w:tc>
      </w:tr>
      <w:tr w:rsidR="008E7E80" w:rsidRPr="005775EF" w14:paraId="70C13BF7" w14:textId="77777777" w:rsidTr="008E7E80">
        <w:trPr>
          <w:trHeight w:val="300"/>
        </w:trPr>
        <w:tc>
          <w:tcPr>
            <w:tcW w:w="2013" w:type="pct"/>
            <w:tcBorders>
              <w:top w:val="single" w:sz="4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6014AA" w14:textId="77777777" w:rsidR="00A6743D" w:rsidRPr="005775EF" w:rsidRDefault="00A6743D" w:rsidP="00A6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Zysk (strata) netto</w:t>
            </w:r>
          </w:p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70586BC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3 805,00</w:t>
            </w: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A0ED75A" w14:textId="77777777" w:rsidR="00A6743D" w:rsidRPr="005775EF" w:rsidRDefault="00A6743D" w:rsidP="00A6743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3 009,06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noWrap/>
            <w:vAlign w:val="center"/>
            <w:hideMark/>
          </w:tcPr>
          <w:p w14:paraId="0668779B" w14:textId="77777777" w:rsidR="00A6743D" w:rsidRPr="005775EF" w:rsidRDefault="00A6743D" w:rsidP="00A674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5EF">
              <w:rPr>
                <w:rFonts w:ascii="Calibri" w:hAnsi="Calibri" w:cs="Calibri"/>
                <w:color w:val="000000"/>
                <w:sz w:val="20"/>
                <w:szCs w:val="20"/>
              </w:rPr>
              <w:t>79,08</w:t>
            </w:r>
          </w:p>
        </w:tc>
      </w:tr>
    </w:tbl>
    <w:p w14:paraId="40265796" w14:textId="77777777" w:rsidR="0088267A" w:rsidRPr="006213F3" w:rsidRDefault="00A8510E" w:rsidP="00D92981">
      <w:pPr>
        <w:jc w:val="both"/>
        <w:rPr>
          <w:rFonts w:asciiTheme="majorHAnsi" w:hAnsiTheme="majorHAnsi" w:cs="Calibri"/>
          <w:b/>
          <w:noProof/>
          <w:sz w:val="22"/>
          <w:szCs w:val="22"/>
        </w:rPr>
      </w:pPr>
      <w:r w:rsidRPr="001F3232">
        <w:rPr>
          <w:rFonts w:ascii="Calibri" w:hAnsi="Calibri" w:cs="Calibri"/>
          <w:sz w:val="22"/>
        </w:rPr>
        <w:lastRenderedPageBreak/>
        <w:br w:type="textWrapping" w:clear="all"/>
      </w:r>
    </w:p>
    <w:p w14:paraId="1BDEBEE1" w14:textId="02DC30F6" w:rsidR="006213F3" w:rsidRPr="006213F3" w:rsidRDefault="006213F3" w:rsidP="006213F3">
      <w:pPr>
        <w:pStyle w:val="Tekstkomentarza"/>
        <w:rPr>
          <w:rFonts w:asciiTheme="majorHAnsi" w:hAnsiTheme="majorHAnsi"/>
          <w:sz w:val="22"/>
          <w:szCs w:val="22"/>
        </w:rPr>
      </w:pPr>
    </w:p>
    <w:p w14:paraId="49BC11AC" w14:textId="52CD67E7" w:rsidR="0091775C" w:rsidRPr="0091775C" w:rsidRDefault="006213F3" w:rsidP="00D92981">
      <w:pPr>
        <w:jc w:val="both"/>
        <w:rPr>
          <w:rFonts w:ascii="Calibri" w:hAnsi="Calibri" w:cs="Tahoma"/>
          <w:bCs/>
          <w:sz w:val="20"/>
          <w:szCs w:val="20"/>
          <w:lang w:bidi="pl-PL"/>
        </w:rPr>
      </w:pPr>
      <w:r w:rsidRPr="0091775C" w:rsidDel="006213F3">
        <w:rPr>
          <w:rFonts w:ascii="Calibri" w:hAnsi="Calibri" w:cs="Tahoma"/>
          <w:bCs/>
          <w:sz w:val="20"/>
          <w:szCs w:val="20"/>
          <w:lang w:bidi="pl-PL"/>
        </w:rPr>
        <w:t xml:space="preserve"> </w:t>
      </w:r>
    </w:p>
    <w:p w14:paraId="47D1032D" w14:textId="77777777" w:rsidR="0088267A" w:rsidRDefault="0088267A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14:paraId="2211A411" w14:textId="19CFD6CD" w:rsidR="0091775C" w:rsidRDefault="0091775C" w:rsidP="0091775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***</w:t>
      </w:r>
    </w:p>
    <w:p w14:paraId="557039E8" w14:textId="77777777" w:rsidR="0091775C" w:rsidRPr="001F3232" w:rsidRDefault="0091775C" w:rsidP="0091775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sz w:val="22"/>
        </w:rPr>
      </w:pPr>
    </w:p>
    <w:p w14:paraId="3873AC0A" w14:textId="77777777" w:rsidR="00247D11" w:rsidRPr="001F3232" w:rsidRDefault="009C2540" w:rsidP="00247D11">
      <w:pPr>
        <w:pStyle w:val="Text"/>
        <w:spacing w:after="0" w:line="240" w:lineRule="auto"/>
        <w:jc w:val="both"/>
        <w:rPr>
          <w:rFonts w:ascii="Calibri" w:hAnsi="Calibri" w:cs="Tahoma"/>
          <w:bCs/>
          <w:sz w:val="20"/>
          <w:szCs w:val="20"/>
        </w:rPr>
      </w:pPr>
      <w:r w:rsidRPr="001F3232">
        <w:rPr>
          <w:rFonts w:ascii="Calibri" w:hAnsi="Calibri" w:cs="Tahoma"/>
          <w:b/>
          <w:bCs/>
          <w:sz w:val="20"/>
          <w:szCs w:val="20"/>
        </w:rPr>
        <w:t>L</w:t>
      </w:r>
      <w:r w:rsidR="00247D11" w:rsidRPr="001F3232">
        <w:rPr>
          <w:rFonts w:ascii="Calibri" w:hAnsi="Calibri" w:cs="Tahoma"/>
          <w:b/>
          <w:bCs/>
          <w:sz w:val="20"/>
          <w:szCs w:val="20"/>
        </w:rPr>
        <w:t xml:space="preserve">UG S.A. </w:t>
      </w:r>
      <w:r w:rsidR="00247D11" w:rsidRPr="001F3232">
        <w:rPr>
          <w:rFonts w:ascii="Calibri" w:hAnsi="Calibr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="00247D11" w:rsidRPr="001F3232">
        <w:rPr>
          <w:rFonts w:ascii="Calibri" w:hAnsi="Calibri" w:cs="Tahoma"/>
          <w:bCs/>
          <w:sz w:val="20"/>
          <w:szCs w:val="20"/>
        </w:rPr>
        <w:t>Brazil</w:t>
      </w:r>
      <w:proofErr w:type="spellEnd"/>
      <w:r w:rsidR="00247D11" w:rsidRPr="001F3232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="00247D11" w:rsidRPr="001F3232">
        <w:rPr>
          <w:rFonts w:ascii="Calibri" w:hAnsi="Calibri" w:cs="Tahoma"/>
          <w:bCs/>
          <w:sz w:val="20"/>
          <w:szCs w:val="20"/>
        </w:rPr>
        <w:t>Ltda</w:t>
      </w:r>
      <w:proofErr w:type="spellEnd"/>
      <w:r w:rsidR="00247D11" w:rsidRPr="001F3232">
        <w:rPr>
          <w:rFonts w:ascii="Calibri" w:hAnsi="Calibri" w:cs="Tahoma"/>
          <w:bCs/>
          <w:sz w:val="20"/>
          <w:szCs w:val="20"/>
        </w:rPr>
        <w:t xml:space="preserve">, LUG </w:t>
      </w:r>
      <w:proofErr w:type="spellStart"/>
      <w:r w:rsidR="00247D11" w:rsidRPr="001F3232">
        <w:rPr>
          <w:rFonts w:ascii="Calibri" w:hAnsi="Calibri" w:cs="Tahoma"/>
          <w:bCs/>
          <w:sz w:val="20"/>
          <w:szCs w:val="20"/>
        </w:rPr>
        <w:t>Lighting</w:t>
      </w:r>
      <w:proofErr w:type="spellEnd"/>
      <w:r w:rsidR="00247D11" w:rsidRPr="001F3232">
        <w:rPr>
          <w:rFonts w:ascii="Calibri" w:hAnsi="Calibri" w:cs="Tahoma"/>
          <w:bCs/>
          <w:sz w:val="20"/>
          <w:szCs w:val="20"/>
        </w:rPr>
        <w:t xml:space="preserve"> UK Ltd.  oraz TOW LUG Ukraina. LUG S.A. od listopada 2007 roku jest notowana na rynku NewConnect zarządzanym przez warszawską GPW. Więcej informacji: </w:t>
      </w:r>
      <w:hyperlink r:id="rId10" w:history="1">
        <w:r w:rsidR="00247D11" w:rsidRPr="001F3232">
          <w:rPr>
            <w:rStyle w:val="Hipercze"/>
            <w:rFonts w:ascii="Calibri" w:hAnsi="Calibri" w:cs="Tahoma"/>
            <w:bCs/>
            <w:sz w:val="20"/>
            <w:szCs w:val="20"/>
          </w:rPr>
          <w:t>www.lug.com.pl</w:t>
        </w:r>
      </w:hyperlink>
    </w:p>
    <w:p w14:paraId="489BDB8A" w14:textId="77777777" w:rsidR="00247D11" w:rsidRDefault="00247D11" w:rsidP="00DF5F51">
      <w:pPr>
        <w:rPr>
          <w:rFonts w:ascii="Calibri" w:hAnsi="Calibri"/>
          <w:noProof/>
          <w:szCs w:val="22"/>
        </w:rPr>
      </w:pPr>
    </w:p>
    <w:p w14:paraId="1E422A28" w14:textId="77777777" w:rsidR="00FC35CC" w:rsidRDefault="00FC35CC" w:rsidP="00DF5F51">
      <w:pPr>
        <w:rPr>
          <w:rFonts w:ascii="Calibri" w:hAnsi="Calibri"/>
          <w:noProof/>
          <w:szCs w:val="22"/>
        </w:rPr>
      </w:pPr>
    </w:p>
    <w:p w14:paraId="6B57FF05" w14:textId="77777777" w:rsidR="00247D11" w:rsidRPr="001F3232" w:rsidRDefault="00317B6E" w:rsidP="00DF5F51">
      <w:pPr>
        <w:rPr>
          <w:rFonts w:ascii="Calibri" w:hAnsi="Calibri"/>
          <w:b/>
          <w:sz w:val="22"/>
          <w:szCs w:val="20"/>
        </w:rPr>
      </w:pPr>
      <w:r w:rsidRPr="001F3232">
        <w:rPr>
          <w:rFonts w:ascii="Calibri" w:hAnsi="Calibri"/>
          <w:b/>
          <w:sz w:val="22"/>
          <w:szCs w:val="20"/>
        </w:rPr>
        <w:t>Kontakt dla mediów i inwestorów:</w:t>
      </w:r>
    </w:p>
    <w:p w14:paraId="29DF4F64" w14:textId="77777777" w:rsidR="00317B6E" w:rsidRPr="001F3232" w:rsidRDefault="00317B6E" w:rsidP="00DF5F51">
      <w:pPr>
        <w:rPr>
          <w:rFonts w:ascii="Calibri" w:hAnsi="Calibri"/>
          <w:sz w:val="20"/>
          <w:szCs w:val="20"/>
        </w:rPr>
      </w:pPr>
    </w:p>
    <w:p w14:paraId="76F56A72" w14:textId="77777777" w:rsidR="00317B6E" w:rsidRPr="001F3232" w:rsidRDefault="00317B6E" w:rsidP="00DF5F51">
      <w:pPr>
        <w:rPr>
          <w:rFonts w:ascii="Calibri" w:hAnsi="Calibri"/>
          <w:b/>
          <w:sz w:val="20"/>
          <w:szCs w:val="20"/>
        </w:rPr>
      </w:pPr>
      <w:r w:rsidRPr="001F3232">
        <w:rPr>
          <w:rFonts w:ascii="Calibri" w:hAnsi="Calibri"/>
          <w:b/>
          <w:sz w:val="20"/>
          <w:szCs w:val="20"/>
        </w:rPr>
        <w:t xml:space="preserve">Monika </w:t>
      </w:r>
      <w:proofErr w:type="spellStart"/>
      <w:r w:rsidRPr="001F3232">
        <w:rPr>
          <w:rFonts w:ascii="Calibri" w:hAnsi="Calibri"/>
          <w:b/>
          <w:sz w:val="20"/>
          <w:szCs w:val="20"/>
        </w:rPr>
        <w:t>Bartoszak</w:t>
      </w:r>
      <w:proofErr w:type="spellEnd"/>
    </w:p>
    <w:p w14:paraId="40017D51" w14:textId="77777777" w:rsidR="0093291E" w:rsidRPr="001F3232" w:rsidRDefault="0093291E" w:rsidP="00DF5F51">
      <w:pPr>
        <w:rPr>
          <w:rFonts w:ascii="Calibri" w:hAnsi="Calibri"/>
          <w:sz w:val="20"/>
          <w:szCs w:val="20"/>
        </w:rPr>
      </w:pPr>
      <w:r w:rsidRPr="001F3232">
        <w:rPr>
          <w:rFonts w:ascii="Calibri" w:hAnsi="Calibri"/>
          <w:sz w:val="20"/>
          <w:szCs w:val="20"/>
        </w:rPr>
        <w:t>Dyrektor Biura Zarządu i Komunikacji</w:t>
      </w:r>
    </w:p>
    <w:p w14:paraId="14316777" w14:textId="77777777" w:rsidR="00317B6E" w:rsidRPr="001F3232" w:rsidRDefault="00317B6E" w:rsidP="00DF5F51">
      <w:pPr>
        <w:rPr>
          <w:rFonts w:ascii="Calibri" w:hAnsi="Calibri"/>
          <w:sz w:val="20"/>
          <w:szCs w:val="20"/>
        </w:rPr>
      </w:pPr>
      <w:r w:rsidRPr="001F3232">
        <w:rPr>
          <w:rFonts w:ascii="Calibri" w:hAnsi="Calibri"/>
          <w:sz w:val="20"/>
          <w:szCs w:val="20"/>
        </w:rPr>
        <w:t>+48 510 183 993</w:t>
      </w:r>
    </w:p>
    <w:p w14:paraId="465B0E4E" w14:textId="77777777" w:rsidR="00317B6E" w:rsidRPr="001F3232" w:rsidRDefault="008E7E80" w:rsidP="00317B6E">
      <w:pPr>
        <w:rPr>
          <w:rFonts w:ascii="Calibri" w:hAnsi="Calibri"/>
          <w:sz w:val="20"/>
          <w:szCs w:val="20"/>
        </w:rPr>
      </w:pPr>
      <w:hyperlink r:id="rId11" w:history="1">
        <w:r w:rsidR="00317B6E" w:rsidRPr="001F3232">
          <w:rPr>
            <w:rStyle w:val="Hipercze"/>
            <w:rFonts w:ascii="Calibri" w:hAnsi="Calibri"/>
            <w:sz w:val="20"/>
            <w:szCs w:val="20"/>
          </w:rPr>
          <w:t>monika.bartoszak@lug.com.pl</w:t>
        </w:r>
      </w:hyperlink>
    </w:p>
    <w:p w14:paraId="2E40AA84" w14:textId="77777777" w:rsidR="00803F08" w:rsidRPr="001F3232" w:rsidRDefault="008E7E80" w:rsidP="00DF5F51">
      <w:pPr>
        <w:rPr>
          <w:rStyle w:val="Hipercze"/>
          <w:rFonts w:ascii="Calibri" w:hAnsi="Calibri"/>
          <w:sz w:val="20"/>
          <w:szCs w:val="20"/>
        </w:rPr>
      </w:pPr>
      <w:hyperlink r:id="rId12" w:history="1">
        <w:r w:rsidR="00317B6E" w:rsidRPr="001F3232">
          <w:rPr>
            <w:rStyle w:val="Hipercze"/>
            <w:rFonts w:ascii="Calibri" w:hAnsi="Calibri"/>
            <w:sz w:val="20"/>
            <w:szCs w:val="20"/>
          </w:rPr>
          <w:t>relacje@lug.com.pl</w:t>
        </w:r>
      </w:hyperlink>
    </w:p>
    <w:p w14:paraId="01DA5E2D" w14:textId="77777777" w:rsidR="00FC35CC" w:rsidRPr="001F3232" w:rsidRDefault="00FC35CC" w:rsidP="00DF5F51">
      <w:pPr>
        <w:rPr>
          <w:rStyle w:val="Hipercze"/>
          <w:rFonts w:ascii="Calibri" w:hAnsi="Calibri"/>
          <w:sz w:val="20"/>
          <w:szCs w:val="20"/>
        </w:rPr>
      </w:pPr>
    </w:p>
    <w:p w14:paraId="315B9E1E" w14:textId="77777777" w:rsidR="00FC35CC" w:rsidRPr="001F3232" w:rsidRDefault="00FC35CC" w:rsidP="00DF5F51">
      <w:pPr>
        <w:rPr>
          <w:rFonts w:ascii="Calibri" w:hAnsi="Calibri"/>
          <w:sz w:val="20"/>
          <w:szCs w:val="20"/>
        </w:rPr>
      </w:pPr>
      <w:r w:rsidRPr="001F3232">
        <w:rPr>
          <w:rFonts w:ascii="Calibri" w:hAnsi="Calibri"/>
          <w:b/>
          <w:sz w:val="20"/>
          <w:szCs w:val="20"/>
        </w:rPr>
        <w:t>Kamila  Górczyńska-Żyżkowska</w:t>
      </w:r>
      <w:r w:rsidRPr="001F3232">
        <w:rPr>
          <w:rFonts w:ascii="Calibri" w:hAnsi="Calibri"/>
          <w:b/>
          <w:sz w:val="20"/>
          <w:szCs w:val="20"/>
        </w:rPr>
        <w:br/>
      </w:r>
      <w:r w:rsidRPr="001F3232">
        <w:rPr>
          <w:rFonts w:ascii="Calibri" w:hAnsi="Calibri"/>
          <w:sz w:val="20"/>
          <w:szCs w:val="20"/>
        </w:rPr>
        <w:t>+48 601 805 484</w:t>
      </w:r>
      <w:r w:rsidRPr="001F3232">
        <w:rPr>
          <w:rFonts w:ascii="Calibri" w:hAnsi="Calibri"/>
          <w:sz w:val="20"/>
          <w:szCs w:val="20"/>
        </w:rPr>
        <w:br/>
      </w:r>
      <w:hyperlink r:id="rId13" w:history="1">
        <w:r w:rsidRPr="001F3232">
          <w:rPr>
            <w:rStyle w:val="Hipercze"/>
            <w:rFonts w:ascii="Calibri" w:hAnsi="Calibri"/>
            <w:sz w:val="20"/>
            <w:szCs w:val="20"/>
          </w:rPr>
          <w:t>kamila.zyzkowska@intouchpr.pl</w:t>
        </w:r>
      </w:hyperlink>
    </w:p>
    <w:p w14:paraId="22CDC077" w14:textId="77777777" w:rsidR="00FC35CC" w:rsidRPr="001F3232" w:rsidRDefault="00FC35CC" w:rsidP="00DF5F51">
      <w:pPr>
        <w:rPr>
          <w:rFonts w:ascii="Calibri" w:hAnsi="Calibri"/>
          <w:b/>
          <w:sz w:val="20"/>
          <w:szCs w:val="20"/>
        </w:rPr>
      </w:pPr>
    </w:p>
    <w:p w14:paraId="4A5D5E5C" w14:textId="77777777" w:rsidR="00D645F0" w:rsidRPr="00D7311E" w:rsidRDefault="00D645F0" w:rsidP="00D645F0">
      <w:pPr>
        <w:ind w:right="-2"/>
        <w:jc w:val="both"/>
        <w:rPr>
          <w:color w:val="000000"/>
          <w:highlight w:val="yellow"/>
          <w:shd w:val="clear" w:color="auto" w:fill="FFFF00"/>
        </w:rPr>
      </w:pPr>
    </w:p>
    <w:p w14:paraId="7AF9D40C" w14:textId="77777777" w:rsidR="00D645F0" w:rsidRPr="001F3232" w:rsidRDefault="00D645F0" w:rsidP="00D645F0">
      <w:pPr>
        <w:rPr>
          <w:rFonts w:ascii="Calibri" w:hAnsi="Calibri"/>
          <w:sz w:val="20"/>
          <w:szCs w:val="20"/>
        </w:rPr>
      </w:pPr>
    </w:p>
    <w:sectPr w:rsidR="00D645F0" w:rsidRPr="001F3232" w:rsidSect="0012404D">
      <w:headerReference w:type="default" r:id="rId14"/>
      <w:footerReference w:type="default" r:id="rId15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6893" w14:textId="77777777" w:rsidR="005D298B" w:rsidRDefault="005D298B">
      <w:r>
        <w:separator/>
      </w:r>
    </w:p>
  </w:endnote>
  <w:endnote w:type="continuationSeparator" w:id="0">
    <w:p w14:paraId="280E5ADC" w14:textId="77777777" w:rsidR="005D298B" w:rsidRDefault="005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ＭＳ ゴシック"/>
    <w:charset w:val="80"/>
    <w:family w:val="auto"/>
    <w:pitch w:val="default"/>
    <w:sig w:usb0="00000003" w:usb1="08070000" w:usb2="00000010" w:usb3="00000000" w:csb0="0002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E3FB" w14:textId="77777777" w:rsidR="00E16AED" w:rsidRPr="001000FF" w:rsidRDefault="00E16AED">
    <w:pPr>
      <w:pStyle w:val="Stopka"/>
    </w:pPr>
    <w:r>
      <w:rPr>
        <w:noProof/>
        <w:lang w:val="en-US"/>
      </w:rPr>
      <w:drawing>
        <wp:inline distT="0" distB="0" distL="0" distR="0" wp14:anchorId="0BB67EF7" wp14:editId="733188D1">
          <wp:extent cx="5923915" cy="583565"/>
          <wp:effectExtent l="0" t="0" r="0" b="635"/>
          <wp:docPr id="2" name="Obraz 2" descr="Opis: 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757FA" w14:textId="77777777" w:rsidR="005D298B" w:rsidRDefault="005D298B">
      <w:r>
        <w:separator/>
      </w:r>
    </w:p>
  </w:footnote>
  <w:footnote w:type="continuationSeparator" w:id="0">
    <w:p w14:paraId="4C0695D3" w14:textId="77777777" w:rsidR="005D298B" w:rsidRDefault="005D2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C0B2" w14:textId="77777777" w:rsidR="00E16AED" w:rsidRPr="00A83E2A" w:rsidRDefault="00E16AED">
    <w:pPr>
      <w:pStyle w:val="Nagwek"/>
    </w:pPr>
    <w:r>
      <w:rPr>
        <w:noProof/>
        <w:lang w:val="en-US"/>
      </w:rPr>
      <w:drawing>
        <wp:inline distT="0" distB="0" distL="0" distR="0" wp14:anchorId="7BC10192" wp14:editId="3666401E">
          <wp:extent cx="5943600" cy="554355"/>
          <wp:effectExtent l="0" t="0" r="0" b="4445"/>
          <wp:docPr id="1" name="Obraz 1" descr="Opis: 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9854CCD" w14:textId="77777777" w:rsidR="00E16AED" w:rsidRPr="007858B1" w:rsidRDefault="00E16AED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701"/>
    <w:multiLevelType w:val="hybridMultilevel"/>
    <w:tmpl w:val="4544CDF8"/>
    <w:lvl w:ilvl="0" w:tplc="5F9EA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ED3"/>
    <w:multiLevelType w:val="hybridMultilevel"/>
    <w:tmpl w:val="470ADEF4"/>
    <w:lvl w:ilvl="0" w:tplc="6FA805D0"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619"/>
    <w:multiLevelType w:val="hybridMultilevel"/>
    <w:tmpl w:val="FF480E90"/>
    <w:lvl w:ilvl="0" w:tplc="F3A488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6A58"/>
    <w:multiLevelType w:val="hybridMultilevel"/>
    <w:tmpl w:val="4C6635C6"/>
    <w:lvl w:ilvl="0" w:tplc="8ABCF7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3AC"/>
    <w:multiLevelType w:val="hybridMultilevel"/>
    <w:tmpl w:val="2E6C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CFD00AD"/>
    <w:multiLevelType w:val="hybridMultilevel"/>
    <w:tmpl w:val="480C8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0CC5"/>
    <w:multiLevelType w:val="hybridMultilevel"/>
    <w:tmpl w:val="49B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F2DFB"/>
    <w:multiLevelType w:val="hybridMultilevel"/>
    <w:tmpl w:val="504C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A6CAA"/>
    <w:multiLevelType w:val="hybridMultilevel"/>
    <w:tmpl w:val="6DAAB666"/>
    <w:lvl w:ilvl="0" w:tplc="1CC864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2C4C"/>
    <w:rsid w:val="00005541"/>
    <w:rsid w:val="00006765"/>
    <w:rsid w:val="00025BCA"/>
    <w:rsid w:val="00026392"/>
    <w:rsid w:val="00050940"/>
    <w:rsid w:val="00055E7D"/>
    <w:rsid w:val="000642FA"/>
    <w:rsid w:val="00070395"/>
    <w:rsid w:val="000821FE"/>
    <w:rsid w:val="000B3156"/>
    <w:rsid w:val="000C341D"/>
    <w:rsid w:val="000F0201"/>
    <w:rsid w:val="001000FF"/>
    <w:rsid w:val="00122D1E"/>
    <w:rsid w:val="0012404D"/>
    <w:rsid w:val="00124B17"/>
    <w:rsid w:val="001306AE"/>
    <w:rsid w:val="0016578C"/>
    <w:rsid w:val="001B34CA"/>
    <w:rsid w:val="001D0402"/>
    <w:rsid w:val="001F3232"/>
    <w:rsid w:val="001F534C"/>
    <w:rsid w:val="0021240B"/>
    <w:rsid w:val="00214A7F"/>
    <w:rsid w:val="00220A66"/>
    <w:rsid w:val="00223309"/>
    <w:rsid w:val="00244B02"/>
    <w:rsid w:val="00245355"/>
    <w:rsid w:val="00247D11"/>
    <w:rsid w:val="002515FF"/>
    <w:rsid w:val="00262876"/>
    <w:rsid w:val="002744ED"/>
    <w:rsid w:val="002831AB"/>
    <w:rsid w:val="00284FD0"/>
    <w:rsid w:val="00287B1B"/>
    <w:rsid w:val="002942A2"/>
    <w:rsid w:val="002A7D41"/>
    <w:rsid w:val="002B0413"/>
    <w:rsid w:val="002E4838"/>
    <w:rsid w:val="002F1F4B"/>
    <w:rsid w:val="00317B6E"/>
    <w:rsid w:val="003318B4"/>
    <w:rsid w:val="00334B6A"/>
    <w:rsid w:val="00334FB5"/>
    <w:rsid w:val="00346F57"/>
    <w:rsid w:val="003517A2"/>
    <w:rsid w:val="00354E3C"/>
    <w:rsid w:val="00363E52"/>
    <w:rsid w:val="003652F4"/>
    <w:rsid w:val="00380E61"/>
    <w:rsid w:val="0038330C"/>
    <w:rsid w:val="003B030B"/>
    <w:rsid w:val="003B3839"/>
    <w:rsid w:val="003C13EA"/>
    <w:rsid w:val="003C4F69"/>
    <w:rsid w:val="003E4A26"/>
    <w:rsid w:val="003F23F4"/>
    <w:rsid w:val="004165BE"/>
    <w:rsid w:val="004408B8"/>
    <w:rsid w:val="004408D7"/>
    <w:rsid w:val="004414C7"/>
    <w:rsid w:val="00454A31"/>
    <w:rsid w:val="004712E8"/>
    <w:rsid w:val="00472E4B"/>
    <w:rsid w:val="0048024F"/>
    <w:rsid w:val="004A2AF1"/>
    <w:rsid w:val="004C6C4C"/>
    <w:rsid w:val="004E6569"/>
    <w:rsid w:val="00531831"/>
    <w:rsid w:val="005766D8"/>
    <w:rsid w:val="00594221"/>
    <w:rsid w:val="00596088"/>
    <w:rsid w:val="00596591"/>
    <w:rsid w:val="005B1722"/>
    <w:rsid w:val="005C0F7B"/>
    <w:rsid w:val="005D298B"/>
    <w:rsid w:val="005D3FDC"/>
    <w:rsid w:val="005D4324"/>
    <w:rsid w:val="005F766A"/>
    <w:rsid w:val="005F792F"/>
    <w:rsid w:val="006213F3"/>
    <w:rsid w:val="006217BE"/>
    <w:rsid w:val="00637B80"/>
    <w:rsid w:val="00640F6F"/>
    <w:rsid w:val="0064474D"/>
    <w:rsid w:val="00655997"/>
    <w:rsid w:val="00664A2A"/>
    <w:rsid w:val="006945E8"/>
    <w:rsid w:val="006A44D3"/>
    <w:rsid w:val="006A6887"/>
    <w:rsid w:val="006C20C0"/>
    <w:rsid w:val="006D4AE3"/>
    <w:rsid w:val="006E4CD1"/>
    <w:rsid w:val="00711192"/>
    <w:rsid w:val="007368BE"/>
    <w:rsid w:val="00743F62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4322"/>
    <w:rsid w:val="007D2789"/>
    <w:rsid w:val="007F64A8"/>
    <w:rsid w:val="00803F08"/>
    <w:rsid w:val="00804521"/>
    <w:rsid w:val="00807D37"/>
    <w:rsid w:val="00830F20"/>
    <w:rsid w:val="00856D1F"/>
    <w:rsid w:val="00857013"/>
    <w:rsid w:val="0088267A"/>
    <w:rsid w:val="00884699"/>
    <w:rsid w:val="00886627"/>
    <w:rsid w:val="008876E4"/>
    <w:rsid w:val="008A2022"/>
    <w:rsid w:val="008A60FF"/>
    <w:rsid w:val="008B35AA"/>
    <w:rsid w:val="008B5CF4"/>
    <w:rsid w:val="008C0BF2"/>
    <w:rsid w:val="008D05D8"/>
    <w:rsid w:val="008E7E80"/>
    <w:rsid w:val="00901F18"/>
    <w:rsid w:val="0091775C"/>
    <w:rsid w:val="0093291E"/>
    <w:rsid w:val="00935224"/>
    <w:rsid w:val="00962956"/>
    <w:rsid w:val="009925F8"/>
    <w:rsid w:val="009B44EA"/>
    <w:rsid w:val="009C2540"/>
    <w:rsid w:val="009D1597"/>
    <w:rsid w:val="009D2D2C"/>
    <w:rsid w:val="009D671D"/>
    <w:rsid w:val="009E329B"/>
    <w:rsid w:val="009E64B9"/>
    <w:rsid w:val="009F15B8"/>
    <w:rsid w:val="00A00411"/>
    <w:rsid w:val="00A060DB"/>
    <w:rsid w:val="00A12419"/>
    <w:rsid w:val="00A274FD"/>
    <w:rsid w:val="00A55F77"/>
    <w:rsid w:val="00A6743D"/>
    <w:rsid w:val="00A743B1"/>
    <w:rsid w:val="00A83E2A"/>
    <w:rsid w:val="00A8510E"/>
    <w:rsid w:val="00A955BD"/>
    <w:rsid w:val="00A963AF"/>
    <w:rsid w:val="00AB016D"/>
    <w:rsid w:val="00AB57EB"/>
    <w:rsid w:val="00AC3A6A"/>
    <w:rsid w:val="00AD031A"/>
    <w:rsid w:val="00AD3614"/>
    <w:rsid w:val="00AE2DD1"/>
    <w:rsid w:val="00AE457F"/>
    <w:rsid w:val="00B045AF"/>
    <w:rsid w:val="00B04E7C"/>
    <w:rsid w:val="00B15E8C"/>
    <w:rsid w:val="00B17E58"/>
    <w:rsid w:val="00B20D15"/>
    <w:rsid w:val="00B30281"/>
    <w:rsid w:val="00B31868"/>
    <w:rsid w:val="00B40872"/>
    <w:rsid w:val="00B4241E"/>
    <w:rsid w:val="00B43CB9"/>
    <w:rsid w:val="00B46DE4"/>
    <w:rsid w:val="00B553DE"/>
    <w:rsid w:val="00B77EA1"/>
    <w:rsid w:val="00B923AF"/>
    <w:rsid w:val="00BC4C8B"/>
    <w:rsid w:val="00BD219D"/>
    <w:rsid w:val="00BE3CB3"/>
    <w:rsid w:val="00BE580E"/>
    <w:rsid w:val="00C02204"/>
    <w:rsid w:val="00C0632A"/>
    <w:rsid w:val="00C10C96"/>
    <w:rsid w:val="00C1627A"/>
    <w:rsid w:val="00C42EBB"/>
    <w:rsid w:val="00C44584"/>
    <w:rsid w:val="00C55A35"/>
    <w:rsid w:val="00C73B48"/>
    <w:rsid w:val="00CA1313"/>
    <w:rsid w:val="00CA4987"/>
    <w:rsid w:val="00CD1F4A"/>
    <w:rsid w:val="00CD36E9"/>
    <w:rsid w:val="00CE3245"/>
    <w:rsid w:val="00CF43E2"/>
    <w:rsid w:val="00CF47ED"/>
    <w:rsid w:val="00D004F3"/>
    <w:rsid w:val="00D012F3"/>
    <w:rsid w:val="00D2390D"/>
    <w:rsid w:val="00D34946"/>
    <w:rsid w:val="00D34A58"/>
    <w:rsid w:val="00D35A70"/>
    <w:rsid w:val="00D4158A"/>
    <w:rsid w:val="00D444D8"/>
    <w:rsid w:val="00D47BF0"/>
    <w:rsid w:val="00D567A2"/>
    <w:rsid w:val="00D5748E"/>
    <w:rsid w:val="00D645F0"/>
    <w:rsid w:val="00D66082"/>
    <w:rsid w:val="00D72FA5"/>
    <w:rsid w:val="00D849C6"/>
    <w:rsid w:val="00D92981"/>
    <w:rsid w:val="00DA0BF5"/>
    <w:rsid w:val="00DF5F51"/>
    <w:rsid w:val="00E16AED"/>
    <w:rsid w:val="00E2706C"/>
    <w:rsid w:val="00E93A15"/>
    <w:rsid w:val="00E95E8B"/>
    <w:rsid w:val="00EA37A0"/>
    <w:rsid w:val="00EB11DA"/>
    <w:rsid w:val="00EE36C2"/>
    <w:rsid w:val="00F1031D"/>
    <w:rsid w:val="00F13299"/>
    <w:rsid w:val="00F47E53"/>
    <w:rsid w:val="00F5484C"/>
    <w:rsid w:val="00FA6E29"/>
    <w:rsid w:val="00FC2588"/>
    <w:rsid w:val="00FC35CC"/>
    <w:rsid w:val="00FD155D"/>
    <w:rsid w:val="00FD22F2"/>
    <w:rsid w:val="00FD3C5C"/>
    <w:rsid w:val="00FD451E"/>
    <w:rsid w:val="00FD54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C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nika.bartoszak@lug.com.pl" TargetMode="External"/><Relationship Id="rId12" Type="http://schemas.openxmlformats.org/officeDocument/2006/relationships/hyperlink" Target="mailto:relacje@lug.com.pl" TargetMode="External"/><Relationship Id="rId13" Type="http://schemas.openxmlformats.org/officeDocument/2006/relationships/hyperlink" Target="mailto:kamila.zyzkowska@intouchpr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aportroczny2016.lug.com.pl" TargetMode="External"/><Relationship Id="rId10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AD93-E441-4449-A29E-D3669CE2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5848</CharactersWithSpaces>
  <SharedDoc>false</SharedDoc>
  <HLinks>
    <vt:vector size="24" baseType="variant">
      <vt:variant>
        <vt:i4>3670108</vt:i4>
      </vt:variant>
      <vt:variant>
        <vt:i4>9</vt:i4>
      </vt:variant>
      <vt:variant>
        <vt:i4>0</vt:i4>
      </vt:variant>
      <vt:variant>
        <vt:i4>5</vt:i4>
      </vt:variant>
      <vt:variant>
        <vt:lpwstr>mailto:kamila.zyzkowska@intouchpr.pl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mailto:relacje@lug.com.pl</vt:lpwstr>
      </vt:variant>
      <vt:variant>
        <vt:lpwstr/>
      </vt:variant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Szczesniak</dc:creator>
  <cp:keywords/>
  <dc:description/>
  <cp:lastModifiedBy>Kamila Górczyńska-Żyżkowska</cp:lastModifiedBy>
  <cp:revision>2</cp:revision>
  <cp:lastPrinted>2017-04-10T11:10:00Z</cp:lastPrinted>
  <dcterms:created xsi:type="dcterms:W3CDTF">2017-05-23T11:59:00Z</dcterms:created>
  <dcterms:modified xsi:type="dcterms:W3CDTF">2017-05-23T11:59:00Z</dcterms:modified>
</cp:coreProperties>
</file>