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90D" w:rsidRDefault="00D2390D" w:rsidP="00D2390D">
      <w:pPr>
        <w:pStyle w:val="Nagwek1"/>
        <w:spacing w:before="120"/>
        <w:jc w:val="right"/>
        <w:rPr>
          <w:rFonts w:ascii="Calibri" w:hAnsi="Calibri" w:cs="Tahoma"/>
          <w:color w:val="404040"/>
        </w:rPr>
      </w:pPr>
      <w:bookmarkStart w:id="0" w:name="_GoBack"/>
      <w:bookmarkEnd w:id="0"/>
      <w:permStart w:id="1648756167" w:edGrp="everyone"/>
      <w:permEnd w:id="1648756167"/>
      <w:r>
        <w:rPr>
          <w:rFonts w:ascii="Calibri" w:hAnsi="Calibri" w:cs="Tahoma"/>
          <w:color w:val="404040"/>
        </w:rPr>
        <w:t>Informacja prasowa</w:t>
      </w:r>
    </w:p>
    <w:p w:rsidR="005B1722" w:rsidRDefault="006C20C0" w:rsidP="00DF5F51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05</w:t>
      </w:r>
      <w:r w:rsidR="00DF5F51">
        <w:rPr>
          <w:rFonts w:ascii="Calibri" w:hAnsi="Calibri"/>
          <w:sz w:val="22"/>
          <w:szCs w:val="22"/>
        </w:rPr>
        <w:t>.</w:t>
      </w:r>
      <w:r w:rsidR="00A00411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>5</w:t>
      </w:r>
      <w:r w:rsidR="00DF5F51">
        <w:rPr>
          <w:rFonts w:ascii="Calibri" w:hAnsi="Calibri"/>
          <w:sz w:val="22"/>
          <w:szCs w:val="22"/>
        </w:rPr>
        <w:t>.201</w:t>
      </w:r>
      <w:r w:rsidR="00A00411">
        <w:rPr>
          <w:rFonts w:ascii="Calibri" w:hAnsi="Calibri"/>
          <w:sz w:val="22"/>
          <w:szCs w:val="22"/>
        </w:rPr>
        <w:t>6</w:t>
      </w:r>
      <w:r w:rsidR="00DF5F51">
        <w:rPr>
          <w:rFonts w:ascii="Calibri" w:hAnsi="Calibri"/>
          <w:sz w:val="22"/>
          <w:szCs w:val="22"/>
        </w:rPr>
        <w:t>r.</w:t>
      </w:r>
    </w:p>
    <w:p w:rsidR="00DF5F51" w:rsidRPr="00E95E8B" w:rsidRDefault="00DF5F51" w:rsidP="00DF5F51">
      <w:pPr>
        <w:jc w:val="right"/>
        <w:rPr>
          <w:rFonts w:ascii="Calibri" w:hAnsi="Calibri"/>
          <w:sz w:val="10"/>
          <w:szCs w:val="22"/>
        </w:rPr>
      </w:pPr>
    </w:p>
    <w:p w:rsidR="00DF5F51" w:rsidRPr="00E95E8B" w:rsidRDefault="00DF5F51" w:rsidP="00DF5F51">
      <w:pPr>
        <w:jc w:val="right"/>
        <w:rPr>
          <w:rFonts w:ascii="Calibri" w:hAnsi="Calibri"/>
          <w:sz w:val="10"/>
          <w:szCs w:val="22"/>
        </w:rPr>
      </w:pPr>
    </w:p>
    <w:p w:rsidR="00E2706C" w:rsidRPr="00E2706C" w:rsidRDefault="00E2706C" w:rsidP="00DF5F51">
      <w:pPr>
        <w:jc w:val="right"/>
        <w:rPr>
          <w:rFonts w:ascii="Calibri" w:hAnsi="Calibri"/>
          <w:szCs w:val="22"/>
        </w:rPr>
      </w:pPr>
    </w:p>
    <w:p w:rsidR="00DF5F51" w:rsidRPr="00AD3614" w:rsidRDefault="006C20C0" w:rsidP="00DF5F51">
      <w:pPr>
        <w:rPr>
          <w:rFonts w:ascii="Calibri" w:hAnsi="Calibri"/>
          <w:color w:val="595959" w:themeColor="text1" w:themeTint="A6"/>
          <w:sz w:val="28"/>
          <w:szCs w:val="28"/>
        </w:rPr>
      </w:pPr>
      <w:r w:rsidRPr="00AD3614">
        <w:rPr>
          <w:rFonts w:ascii="Calibri" w:hAnsi="Calibri"/>
          <w:color w:val="595959" w:themeColor="text1" w:themeTint="A6"/>
          <w:sz w:val="28"/>
          <w:szCs w:val="28"/>
        </w:rPr>
        <w:t xml:space="preserve">Wyniki </w:t>
      </w:r>
      <w:r w:rsidR="00247D11" w:rsidRPr="00AD3614">
        <w:rPr>
          <w:rFonts w:ascii="Calibri" w:hAnsi="Calibri"/>
          <w:color w:val="595959" w:themeColor="text1" w:themeTint="A6"/>
          <w:sz w:val="28"/>
          <w:szCs w:val="28"/>
        </w:rPr>
        <w:t>Grup</w:t>
      </w:r>
      <w:r w:rsidRPr="00AD3614">
        <w:rPr>
          <w:rFonts w:ascii="Calibri" w:hAnsi="Calibri"/>
          <w:color w:val="595959" w:themeColor="text1" w:themeTint="A6"/>
          <w:sz w:val="28"/>
          <w:szCs w:val="28"/>
        </w:rPr>
        <w:t>y</w:t>
      </w:r>
      <w:r w:rsidR="00247D11" w:rsidRPr="00AD3614">
        <w:rPr>
          <w:rFonts w:ascii="Calibri" w:hAnsi="Calibri"/>
          <w:color w:val="595959" w:themeColor="text1" w:themeTint="A6"/>
          <w:sz w:val="28"/>
          <w:szCs w:val="28"/>
        </w:rPr>
        <w:t xml:space="preserve"> Kapitałow</w:t>
      </w:r>
      <w:r w:rsidRPr="00AD3614">
        <w:rPr>
          <w:rFonts w:ascii="Calibri" w:hAnsi="Calibri"/>
          <w:color w:val="595959" w:themeColor="text1" w:themeTint="A6"/>
          <w:sz w:val="28"/>
          <w:szCs w:val="28"/>
        </w:rPr>
        <w:t>ej</w:t>
      </w:r>
      <w:r w:rsidR="00247D11" w:rsidRPr="00AD3614">
        <w:rPr>
          <w:rFonts w:ascii="Calibri" w:hAnsi="Calibri"/>
          <w:color w:val="595959" w:themeColor="text1" w:themeTint="A6"/>
          <w:sz w:val="28"/>
          <w:szCs w:val="28"/>
        </w:rPr>
        <w:t xml:space="preserve"> LUG S.A.</w:t>
      </w:r>
      <w:r w:rsidRPr="00AD3614">
        <w:rPr>
          <w:rFonts w:ascii="Calibri" w:hAnsi="Calibri"/>
          <w:color w:val="595959" w:themeColor="text1" w:themeTint="A6"/>
          <w:sz w:val="28"/>
          <w:szCs w:val="28"/>
        </w:rPr>
        <w:t xml:space="preserve"> za 2015 rok</w:t>
      </w:r>
      <w:r w:rsidR="00247D11" w:rsidRPr="00AD3614">
        <w:rPr>
          <w:rFonts w:ascii="Calibri" w:hAnsi="Calibri"/>
          <w:color w:val="595959" w:themeColor="text1" w:themeTint="A6"/>
          <w:sz w:val="28"/>
          <w:szCs w:val="28"/>
        </w:rPr>
        <w:t xml:space="preserve">: </w:t>
      </w:r>
    </w:p>
    <w:p w:rsidR="00247D11" w:rsidRPr="00AD3614" w:rsidRDefault="006C20C0" w:rsidP="00AD3614">
      <w:pPr>
        <w:jc w:val="both"/>
        <w:rPr>
          <w:rFonts w:ascii="Calibri" w:hAnsi="Calibri"/>
          <w:b/>
          <w:sz w:val="34"/>
          <w:szCs w:val="34"/>
        </w:rPr>
      </w:pPr>
      <w:r w:rsidRPr="00AD3614">
        <w:rPr>
          <w:rFonts w:ascii="Calibri" w:hAnsi="Calibri"/>
          <w:b/>
          <w:sz w:val="34"/>
          <w:szCs w:val="34"/>
        </w:rPr>
        <w:t>Wyższa marżowość</w:t>
      </w:r>
      <w:r w:rsidR="004C6C4C">
        <w:rPr>
          <w:rFonts w:ascii="Calibri" w:hAnsi="Calibri"/>
          <w:b/>
          <w:sz w:val="34"/>
          <w:szCs w:val="34"/>
        </w:rPr>
        <w:t xml:space="preserve"> </w:t>
      </w:r>
      <w:r w:rsidR="00AD3614" w:rsidRPr="00AD3614">
        <w:rPr>
          <w:rFonts w:ascii="Calibri" w:hAnsi="Calibri"/>
          <w:b/>
          <w:sz w:val="34"/>
          <w:szCs w:val="34"/>
        </w:rPr>
        <w:t xml:space="preserve">i </w:t>
      </w:r>
      <w:r w:rsidR="004C6C4C">
        <w:rPr>
          <w:rFonts w:ascii="Calibri" w:hAnsi="Calibri"/>
          <w:b/>
          <w:sz w:val="34"/>
          <w:szCs w:val="34"/>
        </w:rPr>
        <w:t xml:space="preserve">rozwój w oparciu o </w:t>
      </w:r>
      <w:r w:rsidR="00AD3614" w:rsidRPr="00AD3614">
        <w:rPr>
          <w:rFonts w:ascii="Calibri" w:hAnsi="Calibri"/>
          <w:b/>
          <w:sz w:val="34"/>
          <w:szCs w:val="34"/>
        </w:rPr>
        <w:t>now</w:t>
      </w:r>
      <w:r w:rsidR="004C6C4C">
        <w:rPr>
          <w:rFonts w:ascii="Calibri" w:hAnsi="Calibri"/>
          <w:b/>
          <w:sz w:val="34"/>
          <w:szCs w:val="34"/>
        </w:rPr>
        <w:t>ą</w:t>
      </w:r>
      <w:r w:rsidR="00AD3614" w:rsidRPr="00AD3614">
        <w:rPr>
          <w:rFonts w:ascii="Calibri" w:hAnsi="Calibri"/>
          <w:b/>
          <w:sz w:val="34"/>
          <w:szCs w:val="34"/>
        </w:rPr>
        <w:t xml:space="preserve"> fabryk</w:t>
      </w:r>
      <w:r w:rsidR="004C6C4C">
        <w:rPr>
          <w:rFonts w:ascii="Calibri" w:hAnsi="Calibri"/>
          <w:b/>
          <w:sz w:val="34"/>
          <w:szCs w:val="34"/>
        </w:rPr>
        <w:t>ę</w:t>
      </w:r>
    </w:p>
    <w:p w:rsidR="00FD5415" w:rsidRDefault="00FD5415" w:rsidP="00DF5F51">
      <w:pPr>
        <w:rPr>
          <w:rFonts w:ascii="Calibri" w:hAnsi="Calibri"/>
          <w:b/>
          <w:noProof/>
          <w:sz w:val="28"/>
          <w:szCs w:val="22"/>
        </w:rPr>
      </w:pPr>
    </w:p>
    <w:p w:rsidR="00247D11" w:rsidRDefault="00247D11" w:rsidP="00DF5F51">
      <w:pPr>
        <w:rPr>
          <w:rFonts w:ascii="Calibri" w:hAnsi="Calibri"/>
          <w:b/>
          <w:noProof/>
          <w:sz w:val="28"/>
          <w:szCs w:val="22"/>
        </w:rPr>
      </w:pPr>
    </w:p>
    <w:p w:rsidR="00247D11" w:rsidRPr="007B2AD5" w:rsidRDefault="00247D11" w:rsidP="00DF5F51">
      <w:pPr>
        <w:rPr>
          <w:rFonts w:ascii="Calibri" w:hAnsi="Calibri"/>
          <w:noProof/>
          <w:sz w:val="22"/>
          <w:szCs w:val="22"/>
        </w:rPr>
      </w:pPr>
      <w:r w:rsidRPr="007B2AD5">
        <w:rPr>
          <w:rFonts w:ascii="Calibri" w:hAnsi="Calibri"/>
          <w:noProof/>
          <w:sz w:val="22"/>
          <w:szCs w:val="22"/>
        </w:rPr>
        <w:t xml:space="preserve">Zielona Góra – Grupa Kapitałowa LUG S.A. (NewConnect: LUG) opublikowała </w:t>
      </w:r>
      <w:r w:rsidR="006C20C0">
        <w:rPr>
          <w:rFonts w:ascii="Calibri" w:hAnsi="Calibri"/>
          <w:noProof/>
          <w:sz w:val="22"/>
          <w:szCs w:val="22"/>
        </w:rPr>
        <w:t>skonsolidowany raport roczny za 2015 rok</w:t>
      </w:r>
      <w:r w:rsidRPr="007B2AD5">
        <w:rPr>
          <w:rFonts w:ascii="Calibri" w:hAnsi="Calibri"/>
          <w:noProof/>
          <w:sz w:val="22"/>
          <w:szCs w:val="22"/>
        </w:rPr>
        <w:t>. Kluczowe informacje:</w:t>
      </w:r>
    </w:p>
    <w:p w:rsidR="00247D11" w:rsidRPr="007B2AD5" w:rsidRDefault="00247D11" w:rsidP="00DF5F51">
      <w:pPr>
        <w:rPr>
          <w:rFonts w:ascii="Calibri" w:hAnsi="Calibri"/>
          <w:noProof/>
          <w:sz w:val="22"/>
          <w:szCs w:val="22"/>
        </w:rPr>
      </w:pPr>
    </w:p>
    <w:p w:rsidR="00D34946" w:rsidRPr="007B2AD5" w:rsidRDefault="00D34946" w:rsidP="008A2022">
      <w:pPr>
        <w:pStyle w:val="Akapitzlist"/>
        <w:numPr>
          <w:ilvl w:val="0"/>
          <w:numId w:val="3"/>
        </w:numPr>
        <w:spacing w:after="0"/>
        <w:ind w:left="993"/>
        <w:jc w:val="both"/>
      </w:pPr>
      <w:r w:rsidRPr="007B2AD5">
        <w:rPr>
          <w:b/>
        </w:rPr>
        <w:t>skonsolidowane przychody ze sprzedaży</w:t>
      </w:r>
      <w:r w:rsidRPr="007B2AD5">
        <w:t xml:space="preserve"> </w:t>
      </w:r>
      <w:r w:rsidR="006C20C0">
        <w:rPr>
          <w:b/>
        </w:rPr>
        <w:t>za 2015 rok</w:t>
      </w:r>
      <w:r w:rsidRPr="007B2AD5">
        <w:t xml:space="preserve"> wyniosły </w:t>
      </w:r>
      <w:r w:rsidR="006C20C0">
        <w:t xml:space="preserve">109 581,08 </w:t>
      </w:r>
      <w:r w:rsidRPr="007B2AD5">
        <w:t xml:space="preserve">tys. zł, </w:t>
      </w:r>
      <w:r w:rsidR="008A2022" w:rsidRPr="007B2AD5">
        <w:br/>
      </w:r>
      <w:r w:rsidR="006C20C0">
        <w:t>spadek</w:t>
      </w:r>
      <w:r w:rsidRPr="007B2AD5">
        <w:t xml:space="preserve"> o 3,</w:t>
      </w:r>
      <w:r w:rsidR="006C20C0">
        <w:t>7</w:t>
      </w:r>
      <w:r w:rsidRPr="007B2AD5">
        <w:t xml:space="preserve">8% </w:t>
      </w:r>
      <w:r w:rsidR="00C02204" w:rsidRPr="007B2AD5">
        <w:t>r/r</w:t>
      </w:r>
      <w:r w:rsidRPr="007B2AD5">
        <w:t xml:space="preserve">; </w:t>
      </w:r>
    </w:p>
    <w:p w:rsidR="00830F20" w:rsidRPr="007B2AD5" w:rsidRDefault="00830F20" w:rsidP="008A2022">
      <w:pPr>
        <w:pStyle w:val="Akapitzlist"/>
        <w:numPr>
          <w:ilvl w:val="0"/>
          <w:numId w:val="3"/>
        </w:numPr>
        <w:ind w:left="993"/>
        <w:rPr>
          <w:noProof/>
        </w:rPr>
      </w:pPr>
      <w:r w:rsidRPr="007B2AD5">
        <w:rPr>
          <w:b/>
        </w:rPr>
        <w:t xml:space="preserve">struktura przychodów ze sprzedaży </w:t>
      </w:r>
      <w:r w:rsidR="006C20C0">
        <w:rPr>
          <w:b/>
        </w:rPr>
        <w:t xml:space="preserve">w </w:t>
      </w:r>
      <w:r w:rsidRPr="007B2AD5">
        <w:rPr>
          <w:b/>
        </w:rPr>
        <w:t xml:space="preserve">2015 </w:t>
      </w:r>
      <w:r w:rsidR="006C20C0">
        <w:t>wynosiła: 47</w:t>
      </w:r>
      <w:r w:rsidRPr="007B2AD5">
        <w:t>% - kraj, 5</w:t>
      </w:r>
      <w:r w:rsidR="006C20C0">
        <w:t>3</w:t>
      </w:r>
      <w:r w:rsidRPr="007B2AD5">
        <w:t>% - eksport;</w:t>
      </w:r>
    </w:p>
    <w:p w:rsidR="00830F20" w:rsidRPr="007B2AD5" w:rsidRDefault="008A2022" w:rsidP="008A2022">
      <w:pPr>
        <w:pStyle w:val="Akapitzlist"/>
        <w:numPr>
          <w:ilvl w:val="0"/>
          <w:numId w:val="3"/>
        </w:numPr>
        <w:ind w:left="993"/>
        <w:rPr>
          <w:noProof/>
        </w:rPr>
      </w:pPr>
      <w:r w:rsidRPr="007B2AD5">
        <w:rPr>
          <w:b/>
          <w:noProof/>
        </w:rPr>
        <w:t>opraw</w:t>
      </w:r>
      <w:r w:rsidR="006C20C0">
        <w:rPr>
          <w:b/>
          <w:noProof/>
        </w:rPr>
        <w:t>y</w:t>
      </w:r>
      <w:r w:rsidRPr="007B2AD5">
        <w:rPr>
          <w:b/>
          <w:noProof/>
        </w:rPr>
        <w:t xml:space="preserve"> LED</w:t>
      </w:r>
      <w:r w:rsidRPr="007B2AD5">
        <w:rPr>
          <w:noProof/>
        </w:rPr>
        <w:t xml:space="preserve"> </w:t>
      </w:r>
      <w:r w:rsidR="006C20C0">
        <w:rPr>
          <w:noProof/>
        </w:rPr>
        <w:t>w 2015 roku stanowiły</w:t>
      </w:r>
      <w:r w:rsidRPr="007B2AD5">
        <w:rPr>
          <w:noProof/>
        </w:rPr>
        <w:t xml:space="preserve"> 58%</w:t>
      </w:r>
      <w:r w:rsidR="006C20C0">
        <w:rPr>
          <w:noProof/>
        </w:rPr>
        <w:t xml:space="preserve"> produkcji</w:t>
      </w:r>
      <w:r w:rsidRPr="007B2AD5">
        <w:rPr>
          <w:noProof/>
        </w:rPr>
        <w:t>;</w:t>
      </w:r>
    </w:p>
    <w:p w:rsidR="00C02204" w:rsidRPr="007B2AD5" w:rsidRDefault="00C02204" w:rsidP="008A2022">
      <w:pPr>
        <w:pStyle w:val="Akapitzlist"/>
        <w:numPr>
          <w:ilvl w:val="0"/>
          <w:numId w:val="3"/>
        </w:numPr>
        <w:ind w:left="993"/>
        <w:rPr>
          <w:noProof/>
        </w:rPr>
      </w:pPr>
      <w:r w:rsidRPr="007B2AD5">
        <w:rPr>
          <w:b/>
          <w:noProof/>
        </w:rPr>
        <w:t xml:space="preserve">zysk ze sprzedaży brutto </w:t>
      </w:r>
      <w:r w:rsidR="00D35A70">
        <w:rPr>
          <w:b/>
        </w:rPr>
        <w:t xml:space="preserve">za </w:t>
      </w:r>
      <w:r w:rsidRPr="007B2AD5">
        <w:rPr>
          <w:b/>
        </w:rPr>
        <w:t>2015</w:t>
      </w:r>
      <w:r w:rsidR="00D35A70">
        <w:rPr>
          <w:b/>
        </w:rPr>
        <w:t xml:space="preserve"> rok</w:t>
      </w:r>
      <w:r w:rsidRPr="007B2AD5">
        <w:rPr>
          <w:b/>
        </w:rPr>
        <w:t xml:space="preserve"> </w:t>
      </w:r>
      <w:r w:rsidRPr="007B2AD5">
        <w:rPr>
          <w:noProof/>
        </w:rPr>
        <w:t xml:space="preserve">wyniósł </w:t>
      </w:r>
      <w:r w:rsidR="00D35A70">
        <w:rPr>
          <w:rFonts w:cs="Calibri"/>
        </w:rPr>
        <w:t>39 924,32</w:t>
      </w:r>
      <w:r w:rsidRPr="007B2AD5">
        <w:rPr>
          <w:rFonts w:cs="Calibri"/>
        </w:rPr>
        <w:t xml:space="preserve"> tys. zł, wzrost +1</w:t>
      </w:r>
      <w:r w:rsidR="00D35A70">
        <w:rPr>
          <w:rFonts w:cs="Calibri"/>
        </w:rPr>
        <w:t>3</w:t>
      </w:r>
      <w:r w:rsidRPr="007B2AD5">
        <w:rPr>
          <w:rFonts w:cs="Calibri"/>
        </w:rPr>
        <w:t>,</w:t>
      </w:r>
      <w:r w:rsidR="00D35A70">
        <w:rPr>
          <w:rFonts w:cs="Calibri"/>
        </w:rPr>
        <w:t>2</w:t>
      </w:r>
      <w:r w:rsidRPr="007B2AD5">
        <w:rPr>
          <w:rFonts w:cs="Calibri"/>
        </w:rPr>
        <w:t>7% r/r;</w:t>
      </w:r>
    </w:p>
    <w:p w:rsidR="00830F20" w:rsidRPr="007B2AD5" w:rsidRDefault="00D35A70" w:rsidP="00E95E8B">
      <w:pPr>
        <w:pStyle w:val="Akapitzlist"/>
        <w:numPr>
          <w:ilvl w:val="0"/>
          <w:numId w:val="3"/>
        </w:numPr>
        <w:spacing w:after="0"/>
        <w:ind w:left="992" w:hanging="357"/>
        <w:rPr>
          <w:noProof/>
        </w:rPr>
      </w:pPr>
      <w:r>
        <w:rPr>
          <w:rFonts w:cs="Calibri"/>
          <w:b/>
        </w:rPr>
        <w:t xml:space="preserve">zysk netto za </w:t>
      </w:r>
      <w:r w:rsidR="00830F20" w:rsidRPr="007B2AD5">
        <w:rPr>
          <w:rFonts w:cs="Calibri"/>
          <w:b/>
        </w:rPr>
        <w:t>2015</w:t>
      </w:r>
      <w:r>
        <w:rPr>
          <w:rFonts w:cs="Calibri"/>
          <w:b/>
        </w:rPr>
        <w:t xml:space="preserve"> rok</w:t>
      </w:r>
      <w:r w:rsidR="00830F20" w:rsidRPr="007B2AD5">
        <w:rPr>
          <w:rFonts w:cs="Calibri"/>
          <w:b/>
        </w:rPr>
        <w:t xml:space="preserve"> </w:t>
      </w:r>
      <w:r w:rsidR="00830F20" w:rsidRPr="007B2AD5">
        <w:rPr>
          <w:rFonts w:cs="Calibri"/>
        </w:rPr>
        <w:t xml:space="preserve">wyniósł </w:t>
      </w:r>
      <w:r>
        <w:rPr>
          <w:rFonts w:cs="Calibri"/>
        </w:rPr>
        <w:t>3 805,00</w:t>
      </w:r>
      <w:r w:rsidR="00830F20" w:rsidRPr="007B2AD5">
        <w:rPr>
          <w:rFonts w:cs="Calibri"/>
        </w:rPr>
        <w:t xml:space="preserve"> tys. zł, </w:t>
      </w:r>
      <w:r>
        <w:rPr>
          <w:rFonts w:cs="Calibri"/>
        </w:rPr>
        <w:t>spadek o 4,88%</w:t>
      </w:r>
      <w:r w:rsidR="00830F20" w:rsidRPr="007B2AD5">
        <w:rPr>
          <w:rFonts w:cs="Calibri"/>
        </w:rPr>
        <w:t xml:space="preserve"> r/r.</w:t>
      </w:r>
    </w:p>
    <w:p w:rsidR="00830F20" w:rsidRPr="00E95E8B" w:rsidRDefault="00830F20" w:rsidP="00DF5F51">
      <w:pPr>
        <w:rPr>
          <w:rFonts w:ascii="Calibri" w:hAnsi="Calibri"/>
          <w:b/>
          <w:noProof/>
          <w:sz w:val="14"/>
          <w:szCs w:val="22"/>
        </w:rPr>
      </w:pPr>
    </w:p>
    <w:p w:rsidR="00247D11" w:rsidRDefault="00317B6E" w:rsidP="00DF5F51">
      <w:pPr>
        <w:rPr>
          <w:rFonts w:ascii="Calibri" w:hAnsi="Calibri"/>
          <w:b/>
          <w:noProof/>
          <w:szCs w:val="22"/>
        </w:rPr>
      </w:pPr>
      <w:r w:rsidRPr="00317B6E">
        <w:rPr>
          <w:rFonts w:ascii="Calibri" w:hAnsi="Calibri"/>
          <w:b/>
          <w:noProof/>
          <w:szCs w:val="22"/>
        </w:rPr>
        <w:t>Podsumowanie</w:t>
      </w:r>
      <w:r>
        <w:rPr>
          <w:rFonts w:ascii="Calibri" w:hAnsi="Calibri"/>
          <w:b/>
          <w:noProof/>
          <w:szCs w:val="22"/>
        </w:rPr>
        <w:t xml:space="preserve"> </w:t>
      </w:r>
    </w:p>
    <w:p w:rsidR="00317B6E" w:rsidRDefault="00317B6E" w:rsidP="00DF5F51">
      <w:pPr>
        <w:rPr>
          <w:rFonts w:ascii="Calibri" w:hAnsi="Calibri"/>
          <w:b/>
          <w:noProof/>
          <w:szCs w:val="22"/>
        </w:rPr>
      </w:pPr>
    </w:p>
    <w:p w:rsidR="00D567A2" w:rsidRPr="00D567A2" w:rsidRDefault="00A274FD" w:rsidP="008A2022">
      <w:pPr>
        <w:jc w:val="both"/>
        <w:rPr>
          <w:rFonts w:asciiTheme="minorHAnsi" w:hAnsiTheme="minorHAnsi"/>
          <w:sz w:val="22"/>
        </w:rPr>
      </w:pPr>
      <w:r w:rsidRPr="00D567A2">
        <w:rPr>
          <w:rFonts w:asciiTheme="minorHAnsi" w:hAnsiTheme="minorHAnsi"/>
          <w:sz w:val="22"/>
        </w:rPr>
        <w:t xml:space="preserve">Kluczowym projektem roku 2015 była dla Grupy Kapitałowej LUG S.A. budowa nowej fabryki dedykowanej w całości technologii LED. Znajduje się w niej  nowoczesne centrum badawczo – rozwojowe z kompleksem produkcyjnym i magazynowym. Zlokalizowana w strefie ekonomicznej pod Zieloną Górą fabryka jest jednoznaczną odpowiedzią </w:t>
      </w:r>
      <w:r w:rsidR="00D567A2" w:rsidRPr="00D567A2">
        <w:rPr>
          <w:rFonts w:asciiTheme="minorHAnsi" w:hAnsiTheme="minorHAnsi"/>
          <w:sz w:val="22"/>
        </w:rPr>
        <w:t xml:space="preserve">LUG </w:t>
      </w:r>
      <w:r w:rsidRPr="00D567A2">
        <w:rPr>
          <w:rFonts w:asciiTheme="minorHAnsi" w:hAnsiTheme="minorHAnsi"/>
          <w:sz w:val="22"/>
        </w:rPr>
        <w:t xml:space="preserve">na wyzwania, które stawia rynek oświetleniowy. </w:t>
      </w:r>
    </w:p>
    <w:p w:rsidR="00D567A2" w:rsidRPr="00D567A2" w:rsidRDefault="00D567A2" w:rsidP="008A2022">
      <w:pPr>
        <w:jc w:val="both"/>
        <w:rPr>
          <w:rFonts w:asciiTheme="minorHAnsi" w:hAnsiTheme="minorHAnsi"/>
          <w:sz w:val="22"/>
        </w:rPr>
      </w:pPr>
    </w:p>
    <w:p w:rsidR="00A274FD" w:rsidRPr="00D567A2" w:rsidRDefault="00D567A2" w:rsidP="008A2022">
      <w:pPr>
        <w:jc w:val="both"/>
        <w:rPr>
          <w:rFonts w:asciiTheme="minorHAnsi" w:hAnsiTheme="minorHAnsi"/>
          <w:noProof/>
          <w:sz w:val="20"/>
          <w:szCs w:val="22"/>
        </w:rPr>
      </w:pPr>
      <w:r w:rsidRPr="00D567A2">
        <w:rPr>
          <w:rFonts w:asciiTheme="minorHAnsi" w:hAnsiTheme="minorHAnsi"/>
          <w:sz w:val="22"/>
        </w:rPr>
        <w:t xml:space="preserve">- </w:t>
      </w:r>
      <w:r w:rsidR="00A274FD" w:rsidRPr="00D567A2">
        <w:rPr>
          <w:rFonts w:asciiTheme="minorHAnsi" w:hAnsiTheme="minorHAnsi"/>
          <w:i/>
          <w:sz w:val="22"/>
        </w:rPr>
        <w:t xml:space="preserve">Zaawansowana technologia LED, koncepcje </w:t>
      </w:r>
      <w:r w:rsidRPr="00D567A2">
        <w:rPr>
          <w:rFonts w:asciiTheme="minorHAnsi" w:hAnsiTheme="minorHAnsi"/>
          <w:i/>
          <w:sz w:val="22"/>
        </w:rPr>
        <w:t>„Internetu rzeczy”</w:t>
      </w:r>
      <w:r w:rsidR="00A274FD" w:rsidRPr="00D567A2">
        <w:rPr>
          <w:rFonts w:asciiTheme="minorHAnsi" w:hAnsiTheme="minorHAnsi"/>
          <w:i/>
          <w:sz w:val="22"/>
        </w:rPr>
        <w:t xml:space="preserve"> i </w:t>
      </w:r>
      <w:r w:rsidRPr="00D567A2">
        <w:rPr>
          <w:rFonts w:asciiTheme="minorHAnsi" w:hAnsiTheme="minorHAnsi"/>
          <w:i/>
          <w:sz w:val="22"/>
        </w:rPr>
        <w:t>„</w:t>
      </w:r>
      <w:proofErr w:type="spellStart"/>
      <w:r w:rsidR="00A274FD" w:rsidRPr="00D567A2">
        <w:rPr>
          <w:rFonts w:asciiTheme="minorHAnsi" w:hAnsiTheme="minorHAnsi"/>
          <w:i/>
          <w:sz w:val="22"/>
        </w:rPr>
        <w:t>human</w:t>
      </w:r>
      <w:proofErr w:type="spellEnd"/>
      <w:r w:rsidR="00A274FD" w:rsidRPr="00D567A2">
        <w:rPr>
          <w:rFonts w:asciiTheme="minorHAnsi" w:hAnsiTheme="minorHAnsi"/>
          <w:i/>
          <w:sz w:val="22"/>
        </w:rPr>
        <w:t xml:space="preserve"> </w:t>
      </w:r>
      <w:proofErr w:type="spellStart"/>
      <w:r w:rsidR="00A274FD" w:rsidRPr="00D567A2">
        <w:rPr>
          <w:rFonts w:asciiTheme="minorHAnsi" w:hAnsiTheme="minorHAnsi"/>
          <w:i/>
          <w:sz w:val="22"/>
        </w:rPr>
        <w:t>centric</w:t>
      </w:r>
      <w:proofErr w:type="spellEnd"/>
      <w:r w:rsidR="00A274FD" w:rsidRPr="00D567A2">
        <w:rPr>
          <w:rFonts w:asciiTheme="minorHAnsi" w:hAnsiTheme="minorHAnsi"/>
          <w:i/>
          <w:sz w:val="22"/>
        </w:rPr>
        <w:t xml:space="preserve"> </w:t>
      </w:r>
      <w:proofErr w:type="spellStart"/>
      <w:r w:rsidR="00A274FD" w:rsidRPr="00D567A2">
        <w:rPr>
          <w:rFonts w:asciiTheme="minorHAnsi" w:hAnsiTheme="minorHAnsi"/>
          <w:i/>
          <w:sz w:val="22"/>
        </w:rPr>
        <w:t>lighting</w:t>
      </w:r>
      <w:proofErr w:type="spellEnd"/>
      <w:r w:rsidRPr="00D567A2">
        <w:rPr>
          <w:rFonts w:asciiTheme="minorHAnsi" w:hAnsiTheme="minorHAnsi"/>
          <w:i/>
          <w:sz w:val="22"/>
        </w:rPr>
        <w:t>”</w:t>
      </w:r>
      <w:r w:rsidR="00A274FD" w:rsidRPr="00D567A2">
        <w:rPr>
          <w:rFonts w:asciiTheme="minorHAnsi" w:hAnsiTheme="minorHAnsi"/>
          <w:i/>
          <w:sz w:val="22"/>
        </w:rPr>
        <w:t xml:space="preserve"> to tylko niektóre z trendów, które znajdą odzwierciedlenie w naszych produktach</w:t>
      </w:r>
      <w:r w:rsidRPr="00D567A2">
        <w:rPr>
          <w:rFonts w:asciiTheme="minorHAnsi" w:hAnsiTheme="minorHAnsi"/>
          <w:i/>
          <w:sz w:val="22"/>
        </w:rPr>
        <w:t xml:space="preserve">. Będą one - </w:t>
      </w:r>
      <w:r w:rsidR="00A274FD" w:rsidRPr="00D567A2">
        <w:rPr>
          <w:rFonts w:asciiTheme="minorHAnsi" w:hAnsiTheme="minorHAnsi"/>
          <w:i/>
          <w:sz w:val="22"/>
        </w:rPr>
        <w:t>od koncepcji</w:t>
      </w:r>
      <w:r w:rsidRPr="00D567A2">
        <w:rPr>
          <w:rFonts w:asciiTheme="minorHAnsi" w:hAnsiTheme="minorHAnsi"/>
          <w:i/>
          <w:sz w:val="22"/>
        </w:rPr>
        <w:t>,</w:t>
      </w:r>
      <w:r w:rsidR="00A274FD" w:rsidRPr="00D567A2">
        <w:rPr>
          <w:rFonts w:asciiTheme="minorHAnsi" w:hAnsiTheme="minorHAnsi"/>
          <w:i/>
          <w:sz w:val="22"/>
        </w:rPr>
        <w:t xml:space="preserve"> poprzez fazę badań aż po produkcję finalną</w:t>
      </w:r>
      <w:r w:rsidRPr="00D567A2">
        <w:rPr>
          <w:rFonts w:asciiTheme="minorHAnsi" w:hAnsiTheme="minorHAnsi"/>
          <w:sz w:val="22"/>
        </w:rPr>
        <w:t xml:space="preserve"> -</w:t>
      </w:r>
      <w:r w:rsidR="00A274FD" w:rsidRPr="00D567A2">
        <w:rPr>
          <w:rFonts w:asciiTheme="minorHAnsi" w:hAnsiTheme="minorHAnsi"/>
          <w:sz w:val="22"/>
        </w:rPr>
        <w:t xml:space="preserve"> powstawać w naszych fabrykach</w:t>
      </w:r>
      <w:r w:rsidRPr="00D567A2">
        <w:rPr>
          <w:rFonts w:asciiTheme="minorHAnsi" w:hAnsiTheme="minorHAnsi"/>
          <w:sz w:val="22"/>
        </w:rPr>
        <w:t xml:space="preserve"> – wyjaśnia Ryszard Wtorkowski, Prezes Zarządu LUG S.A.</w:t>
      </w:r>
    </w:p>
    <w:p w:rsidR="00A274FD" w:rsidRDefault="00A274FD" w:rsidP="008A2022">
      <w:pPr>
        <w:jc w:val="both"/>
        <w:rPr>
          <w:rFonts w:asciiTheme="minorHAnsi" w:hAnsiTheme="minorHAnsi"/>
          <w:noProof/>
          <w:sz w:val="22"/>
          <w:szCs w:val="22"/>
        </w:rPr>
      </w:pPr>
    </w:p>
    <w:p w:rsidR="00D567A2" w:rsidRDefault="00D567A2" w:rsidP="00D567A2">
      <w:pPr>
        <w:jc w:val="both"/>
        <w:rPr>
          <w:rFonts w:asciiTheme="minorHAnsi" w:hAnsiTheme="minorHAnsi"/>
          <w:sz w:val="22"/>
        </w:rPr>
      </w:pPr>
      <w:r w:rsidRPr="00D567A2">
        <w:rPr>
          <w:rFonts w:asciiTheme="minorHAnsi" w:hAnsiTheme="minorHAnsi"/>
          <w:sz w:val="22"/>
          <w:szCs w:val="20"/>
        </w:rPr>
        <w:t xml:space="preserve">Celem Emitenta w 2015 roku była poprawa marżowości i jak najlepsze wykorzystanie potencjału rynków, na których </w:t>
      </w:r>
      <w:r>
        <w:rPr>
          <w:rFonts w:asciiTheme="minorHAnsi" w:hAnsiTheme="minorHAnsi"/>
          <w:sz w:val="22"/>
          <w:szCs w:val="20"/>
        </w:rPr>
        <w:t>był już</w:t>
      </w:r>
      <w:r w:rsidRPr="00D567A2">
        <w:rPr>
          <w:rFonts w:asciiTheme="minorHAnsi" w:hAnsiTheme="minorHAnsi"/>
          <w:sz w:val="22"/>
          <w:szCs w:val="20"/>
        </w:rPr>
        <w:t xml:space="preserve"> obecn</w:t>
      </w:r>
      <w:r>
        <w:rPr>
          <w:rFonts w:asciiTheme="minorHAnsi" w:hAnsiTheme="minorHAnsi"/>
          <w:sz w:val="22"/>
          <w:szCs w:val="20"/>
        </w:rPr>
        <w:t>y</w:t>
      </w:r>
      <w:r w:rsidRPr="00D567A2">
        <w:rPr>
          <w:rFonts w:asciiTheme="minorHAnsi" w:hAnsiTheme="minorHAnsi"/>
          <w:sz w:val="22"/>
          <w:szCs w:val="20"/>
        </w:rPr>
        <w:t xml:space="preserve">. </w:t>
      </w:r>
      <w:r>
        <w:rPr>
          <w:rFonts w:asciiTheme="minorHAnsi" w:hAnsiTheme="minorHAnsi"/>
          <w:sz w:val="22"/>
          <w:szCs w:val="20"/>
        </w:rPr>
        <w:t xml:space="preserve">W wyniku podjętych działań Grupa Kapitałowa LUG S.A. </w:t>
      </w:r>
      <w:r w:rsidRPr="00D567A2">
        <w:rPr>
          <w:rFonts w:asciiTheme="minorHAnsi" w:hAnsiTheme="minorHAnsi"/>
          <w:sz w:val="22"/>
          <w:szCs w:val="20"/>
        </w:rPr>
        <w:t xml:space="preserve"> wypracowa</w:t>
      </w:r>
      <w:r>
        <w:rPr>
          <w:rFonts w:asciiTheme="minorHAnsi" w:hAnsiTheme="minorHAnsi"/>
          <w:sz w:val="22"/>
          <w:szCs w:val="20"/>
        </w:rPr>
        <w:t>ła</w:t>
      </w:r>
      <w:r w:rsidRPr="00D567A2">
        <w:rPr>
          <w:rFonts w:asciiTheme="minorHAnsi" w:hAnsiTheme="minorHAnsi"/>
          <w:sz w:val="22"/>
          <w:szCs w:val="20"/>
        </w:rPr>
        <w:t xml:space="preserve"> </w:t>
      </w:r>
      <w:r>
        <w:rPr>
          <w:rFonts w:asciiTheme="minorHAnsi" w:hAnsiTheme="minorHAnsi"/>
          <w:sz w:val="22"/>
          <w:szCs w:val="20"/>
        </w:rPr>
        <w:t xml:space="preserve">zysk brutto ze sprzedaży na poziomie 39,92 mln zł, co dało </w:t>
      </w:r>
      <w:r w:rsidRPr="00D567A2">
        <w:rPr>
          <w:rFonts w:asciiTheme="minorHAnsi" w:hAnsiTheme="minorHAnsi"/>
          <w:sz w:val="22"/>
          <w:szCs w:val="20"/>
        </w:rPr>
        <w:t xml:space="preserve">marżę brutto na sprzedaży w wysokości 36,43%. </w:t>
      </w:r>
      <w:r w:rsidRPr="00D567A2">
        <w:rPr>
          <w:rFonts w:asciiTheme="minorHAnsi" w:hAnsiTheme="minorHAnsi"/>
          <w:sz w:val="22"/>
        </w:rPr>
        <w:t xml:space="preserve">Jednocześnie nastąpiło wyhamowanie przychodów ze sprzedaży, które w 2015 roku uległy obniżeniu o 3,78% osiągając poziom 109,6 mln zł. </w:t>
      </w:r>
    </w:p>
    <w:p w:rsidR="00D567A2" w:rsidRDefault="00D567A2" w:rsidP="00D567A2">
      <w:pPr>
        <w:jc w:val="both"/>
        <w:rPr>
          <w:rFonts w:asciiTheme="minorHAnsi" w:hAnsiTheme="minorHAnsi"/>
          <w:sz w:val="22"/>
        </w:rPr>
      </w:pPr>
    </w:p>
    <w:p w:rsidR="00D567A2" w:rsidRPr="00D567A2" w:rsidRDefault="00D567A2" w:rsidP="00D567A2">
      <w:pPr>
        <w:jc w:val="both"/>
        <w:rPr>
          <w:rFonts w:asciiTheme="minorHAnsi" w:hAnsiTheme="minorHAnsi"/>
          <w:i/>
          <w:sz w:val="22"/>
          <w:szCs w:val="20"/>
        </w:rPr>
      </w:pPr>
      <w:r>
        <w:rPr>
          <w:rFonts w:asciiTheme="minorHAnsi" w:hAnsiTheme="minorHAnsi"/>
          <w:sz w:val="22"/>
        </w:rPr>
        <w:t xml:space="preserve">- </w:t>
      </w:r>
      <w:r w:rsidRPr="00D567A2">
        <w:rPr>
          <w:rFonts w:asciiTheme="minorHAnsi" w:hAnsiTheme="minorHAnsi"/>
          <w:i/>
          <w:sz w:val="22"/>
          <w:szCs w:val="20"/>
        </w:rPr>
        <w:t xml:space="preserve">Czynnikiem zewnętrznym, z którym przyszło nam się zmierzyć w 2015 roku był  kryzys ukraiński </w:t>
      </w:r>
      <w:r w:rsidR="00026392">
        <w:rPr>
          <w:rFonts w:asciiTheme="minorHAnsi" w:hAnsiTheme="minorHAnsi"/>
          <w:i/>
          <w:sz w:val="22"/>
          <w:szCs w:val="20"/>
        </w:rPr>
        <w:br/>
      </w:r>
      <w:r w:rsidRPr="00D567A2">
        <w:rPr>
          <w:rFonts w:asciiTheme="minorHAnsi" w:hAnsiTheme="minorHAnsi"/>
          <w:i/>
          <w:sz w:val="22"/>
          <w:szCs w:val="20"/>
        </w:rPr>
        <w:t>i związane z nim działania militarne Rosji. W konsekwencji tych wydarzeń oraz jako efekt wprowadzonych sankcji, utraciliśmy możliwość realizacji niektórych inwestycji, a także straciliśmy wypracowany potencjał rynkowy</w:t>
      </w:r>
      <w:r>
        <w:rPr>
          <w:rFonts w:asciiTheme="minorHAnsi" w:hAnsiTheme="minorHAnsi"/>
          <w:sz w:val="22"/>
          <w:szCs w:val="20"/>
        </w:rPr>
        <w:t xml:space="preserve"> – komentuje Wtorkowski i dodaje - </w:t>
      </w:r>
      <w:r w:rsidRPr="00D567A2">
        <w:rPr>
          <w:rFonts w:asciiTheme="minorHAnsi" w:hAnsiTheme="minorHAnsi"/>
          <w:i/>
          <w:sz w:val="22"/>
          <w:szCs w:val="20"/>
        </w:rPr>
        <w:t xml:space="preserve">Sytuacja ta odcisnęła piętno na naszych przychodach ze sprzedaży, które na rynku rosyjskim i ukraińskim spadły w 2015 roku o ponad </w:t>
      </w:r>
      <w:r w:rsidR="00026392">
        <w:rPr>
          <w:rFonts w:asciiTheme="minorHAnsi" w:hAnsiTheme="minorHAnsi"/>
          <w:i/>
          <w:sz w:val="22"/>
          <w:szCs w:val="20"/>
        </w:rPr>
        <w:lastRenderedPageBreak/>
        <w:t xml:space="preserve">65% r/r. </w:t>
      </w:r>
      <w:r w:rsidRPr="00D567A2">
        <w:rPr>
          <w:rFonts w:asciiTheme="minorHAnsi" w:hAnsiTheme="minorHAnsi"/>
          <w:i/>
          <w:sz w:val="22"/>
          <w:szCs w:val="20"/>
        </w:rPr>
        <w:t xml:space="preserve">W wyniku zintensyfikowanych działań na pozostałych rynkach </w:t>
      </w:r>
      <w:r w:rsidRPr="00D567A2">
        <w:rPr>
          <w:rFonts w:asciiTheme="minorHAnsi" w:hAnsiTheme="minorHAnsi" w:cs="Calibri"/>
          <w:i/>
          <w:sz w:val="22"/>
        </w:rPr>
        <w:t xml:space="preserve">przychody realizowane w całym 2015 roku w Europie wzrosły o 45% r/r. </w:t>
      </w:r>
    </w:p>
    <w:p w:rsidR="00D567A2" w:rsidRPr="00D567A2" w:rsidRDefault="00D567A2" w:rsidP="008A2022">
      <w:pPr>
        <w:jc w:val="both"/>
        <w:rPr>
          <w:rFonts w:asciiTheme="minorHAnsi" w:hAnsiTheme="minorHAnsi"/>
          <w:noProof/>
          <w:sz w:val="20"/>
          <w:szCs w:val="22"/>
        </w:rPr>
      </w:pPr>
    </w:p>
    <w:p w:rsidR="0038330C" w:rsidRPr="0038330C" w:rsidRDefault="0038330C" w:rsidP="0038330C">
      <w:pPr>
        <w:jc w:val="both"/>
        <w:rPr>
          <w:rFonts w:asciiTheme="minorHAnsi" w:hAnsiTheme="minorHAnsi"/>
          <w:sz w:val="22"/>
        </w:rPr>
      </w:pPr>
      <w:r w:rsidRPr="0038330C">
        <w:rPr>
          <w:rFonts w:asciiTheme="minorHAnsi" w:hAnsiTheme="minorHAnsi"/>
          <w:sz w:val="22"/>
        </w:rPr>
        <w:t xml:space="preserve">W 2015 roku portfolio realizacji </w:t>
      </w:r>
      <w:r>
        <w:rPr>
          <w:rFonts w:asciiTheme="minorHAnsi" w:hAnsiTheme="minorHAnsi"/>
          <w:sz w:val="22"/>
        </w:rPr>
        <w:t xml:space="preserve">Grupy Kapitałowej LUG S.A. </w:t>
      </w:r>
      <w:r w:rsidRPr="0038330C">
        <w:rPr>
          <w:rFonts w:asciiTheme="minorHAnsi" w:hAnsiTheme="minorHAnsi"/>
          <w:sz w:val="22"/>
        </w:rPr>
        <w:t>powiększyło się o wiele presti</w:t>
      </w:r>
      <w:r>
        <w:rPr>
          <w:rFonts w:asciiTheme="minorHAnsi" w:hAnsiTheme="minorHAnsi"/>
          <w:sz w:val="22"/>
        </w:rPr>
        <w:t>żowych obiektów, które potwierdzają</w:t>
      </w:r>
      <w:r w:rsidRPr="0038330C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szerokie kompetencje i dowodzą przewag konkurencyjnych na skalę międzynarodową. </w:t>
      </w:r>
      <w:r w:rsidRPr="0038330C">
        <w:rPr>
          <w:rFonts w:asciiTheme="minorHAnsi" w:hAnsiTheme="minorHAnsi"/>
          <w:sz w:val="22"/>
        </w:rPr>
        <w:t xml:space="preserve">Do najważniejszych spośród naszych międzynarodowych realizacji należą: nowy terminal na lotnisku Kopenhaga – </w:t>
      </w:r>
      <w:proofErr w:type="spellStart"/>
      <w:r w:rsidRPr="0038330C">
        <w:rPr>
          <w:rFonts w:asciiTheme="minorHAnsi" w:hAnsiTheme="minorHAnsi"/>
          <w:sz w:val="22"/>
        </w:rPr>
        <w:t>Kastrup</w:t>
      </w:r>
      <w:proofErr w:type="spellEnd"/>
      <w:r w:rsidRPr="0038330C">
        <w:rPr>
          <w:rFonts w:asciiTheme="minorHAnsi" w:hAnsiTheme="minorHAnsi"/>
          <w:sz w:val="22"/>
        </w:rPr>
        <w:t xml:space="preserve"> w Danii, centrum przeładunkowe DHL na lotnisku </w:t>
      </w:r>
      <w:r w:rsidRPr="0038330C">
        <w:rPr>
          <w:rFonts w:asciiTheme="minorHAnsi" w:hAnsiTheme="minorHAnsi"/>
          <w:sz w:val="22"/>
        </w:rPr>
        <w:br/>
        <w:t xml:space="preserve">w Lipsku, Uniwersytet w Kuwejcie, Centrum Światowej Kultury w Zjednoczonych Emiratach Arabskich.  </w:t>
      </w:r>
      <w:r>
        <w:rPr>
          <w:rFonts w:asciiTheme="minorHAnsi" w:hAnsiTheme="minorHAnsi"/>
          <w:sz w:val="22"/>
        </w:rPr>
        <w:t xml:space="preserve">Krajowe </w:t>
      </w:r>
      <w:r w:rsidRPr="0038330C">
        <w:rPr>
          <w:rFonts w:asciiTheme="minorHAnsi" w:hAnsiTheme="minorHAnsi"/>
          <w:sz w:val="22"/>
        </w:rPr>
        <w:t xml:space="preserve">portfolio realizacji </w:t>
      </w:r>
      <w:r>
        <w:rPr>
          <w:rFonts w:asciiTheme="minorHAnsi" w:hAnsiTheme="minorHAnsi"/>
          <w:sz w:val="22"/>
        </w:rPr>
        <w:t xml:space="preserve">LUG </w:t>
      </w:r>
      <w:r w:rsidRPr="0038330C">
        <w:rPr>
          <w:rFonts w:asciiTheme="minorHAnsi" w:hAnsiTheme="minorHAnsi"/>
          <w:sz w:val="22"/>
        </w:rPr>
        <w:t>wzbogaci</w:t>
      </w:r>
      <w:r>
        <w:rPr>
          <w:rFonts w:asciiTheme="minorHAnsi" w:hAnsiTheme="minorHAnsi"/>
          <w:sz w:val="22"/>
        </w:rPr>
        <w:t>ło się m.in.</w:t>
      </w:r>
      <w:r w:rsidRPr="0038330C">
        <w:rPr>
          <w:rFonts w:asciiTheme="minorHAnsi" w:hAnsiTheme="minorHAnsi"/>
          <w:sz w:val="22"/>
        </w:rPr>
        <w:t xml:space="preserve"> o takie obiekty jak b</w:t>
      </w:r>
      <w:r w:rsidRPr="0038330C">
        <w:rPr>
          <w:rFonts w:asciiTheme="minorHAnsi" w:hAnsiTheme="minorHAnsi" w:cs="Calibri"/>
          <w:sz w:val="22"/>
        </w:rPr>
        <w:t xml:space="preserve">iurowiec </w:t>
      </w:r>
      <w:proofErr w:type="spellStart"/>
      <w:r w:rsidRPr="0038330C">
        <w:rPr>
          <w:rFonts w:asciiTheme="minorHAnsi" w:hAnsiTheme="minorHAnsi" w:cs="Calibri"/>
          <w:sz w:val="22"/>
        </w:rPr>
        <w:t>Prime</w:t>
      </w:r>
      <w:proofErr w:type="spellEnd"/>
      <w:r w:rsidRPr="0038330C">
        <w:rPr>
          <w:rFonts w:asciiTheme="minorHAnsi" w:hAnsiTheme="minorHAnsi" w:cs="Calibri"/>
          <w:sz w:val="22"/>
        </w:rPr>
        <w:t xml:space="preserve"> </w:t>
      </w:r>
      <w:proofErr w:type="spellStart"/>
      <w:r w:rsidRPr="0038330C">
        <w:rPr>
          <w:rFonts w:asciiTheme="minorHAnsi" w:hAnsiTheme="minorHAnsi" w:cs="Calibri"/>
          <w:sz w:val="22"/>
        </w:rPr>
        <w:t>Corporate</w:t>
      </w:r>
      <w:proofErr w:type="spellEnd"/>
      <w:r w:rsidRPr="0038330C">
        <w:rPr>
          <w:rFonts w:asciiTheme="minorHAnsi" w:hAnsiTheme="minorHAnsi" w:cs="Calibri"/>
          <w:sz w:val="22"/>
        </w:rPr>
        <w:t xml:space="preserve"> Center w Warszawie, Centrum handlowe Wola Park i </w:t>
      </w:r>
      <w:proofErr w:type="spellStart"/>
      <w:r w:rsidRPr="0038330C">
        <w:rPr>
          <w:rFonts w:asciiTheme="minorHAnsi" w:hAnsiTheme="minorHAnsi" w:cs="Calibri"/>
          <w:sz w:val="22"/>
        </w:rPr>
        <w:t>Głogovia</w:t>
      </w:r>
      <w:proofErr w:type="spellEnd"/>
      <w:r w:rsidRPr="0038330C">
        <w:rPr>
          <w:rFonts w:asciiTheme="minorHAnsi" w:hAnsiTheme="minorHAnsi" w:cs="Calibri"/>
          <w:sz w:val="22"/>
        </w:rPr>
        <w:t xml:space="preserve">, Budynek Instytutu Pamięci Narodowej </w:t>
      </w:r>
      <w:r w:rsidRPr="0038330C">
        <w:rPr>
          <w:rFonts w:asciiTheme="minorHAnsi" w:hAnsiTheme="minorHAnsi" w:cs="Calibri"/>
          <w:sz w:val="22"/>
        </w:rPr>
        <w:br/>
        <w:t xml:space="preserve">w Gdańsku, Centrum Onkologii Ziemi Lubelskiej oraz zakład produkcyjny silników odrzutowych Boeing w Mielcu. </w:t>
      </w:r>
      <w:r>
        <w:rPr>
          <w:rFonts w:asciiTheme="minorHAnsi" w:hAnsiTheme="minorHAnsi" w:cs="Calibri"/>
          <w:sz w:val="22"/>
        </w:rPr>
        <w:t>Realizacja</w:t>
      </w:r>
      <w:r w:rsidRPr="0038330C">
        <w:rPr>
          <w:rFonts w:asciiTheme="minorHAnsi" w:hAnsiTheme="minorHAnsi" w:cs="Calibri"/>
          <w:sz w:val="22"/>
        </w:rPr>
        <w:t xml:space="preserve"> kontraktu na dostawę oświetlenia do 3 linii metra w Sao Paulo uczyniła </w:t>
      </w:r>
      <w:r>
        <w:rPr>
          <w:rFonts w:asciiTheme="minorHAnsi" w:hAnsiTheme="minorHAnsi" w:cs="Calibri"/>
          <w:sz w:val="22"/>
        </w:rPr>
        <w:t>LUG</w:t>
      </w:r>
      <w:r w:rsidRPr="0038330C">
        <w:rPr>
          <w:rFonts w:asciiTheme="minorHAnsi" w:hAnsiTheme="minorHAnsi" w:cs="Calibri"/>
          <w:sz w:val="22"/>
        </w:rPr>
        <w:t xml:space="preserve"> prawdopodobnie jedynym producentem oświetlenia na świecie, który w ciągu 2 lat oświetlił metro na trzech kontynentach.</w:t>
      </w:r>
    </w:p>
    <w:p w:rsidR="00D567A2" w:rsidRDefault="00D567A2" w:rsidP="008A2022">
      <w:pPr>
        <w:jc w:val="both"/>
        <w:rPr>
          <w:rFonts w:asciiTheme="minorHAnsi" w:hAnsiTheme="minorHAnsi"/>
          <w:noProof/>
          <w:sz w:val="22"/>
          <w:szCs w:val="22"/>
        </w:rPr>
      </w:pPr>
    </w:p>
    <w:p w:rsidR="00247D11" w:rsidRDefault="00247D11" w:rsidP="00DF5F51">
      <w:pPr>
        <w:rPr>
          <w:rFonts w:ascii="Calibri" w:hAnsi="Calibri"/>
          <w:b/>
          <w:noProof/>
          <w:szCs w:val="22"/>
        </w:rPr>
      </w:pPr>
      <w:r>
        <w:rPr>
          <w:rFonts w:ascii="Calibri" w:hAnsi="Calibri"/>
          <w:b/>
          <w:noProof/>
          <w:szCs w:val="22"/>
        </w:rPr>
        <w:t xml:space="preserve">Wybrane dane finansowe </w:t>
      </w:r>
    </w:p>
    <w:p w:rsidR="00247D11" w:rsidRDefault="00247D11" w:rsidP="00DF5F51">
      <w:pPr>
        <w:rPr>
          <w:rFonts w:ascii="Calibri" w:hAnsi="Calibri"/>
          <w:noProof/>
          <w:szCs w:val="22"/>
        </w:rPr>
      </w:pPr>
      <w:r>
        <w:rPr>
          <w:rFonts w:ascii="Calibri" w:hAnsi="Calibri"/>
          <w:noProof/>
          <w:szCs w:val="22"/>
        </w:rPr>
        <w:t>[tys. PLN]</w:t>
      </w:r>
    </w:p>
    <w:p w:rsidR="00A274FD" w:rsidRDefault="00A274FD" w:rsidP="00DF5F51">
      <w:pPr>
        <w:rPr>
          <w:rFonts w:ascii="Calibri" w:hAnsi="Calibri"/>
          <w:noProof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351790</wp:posOffset>
            </wp:positionH>
            <wp:positionV relativeFrom="paragraph">
              <wp:posOffset>123825</wp:posOffset>
            </wp:positionV>
            <wp:extent cx="5105400" cy="1833880"/>
            <wp:effectExtent l="0" t="0" r="0" b="0"/>
            <wp:wrapTight wrapText="bothSides">
              <wp:wrapPolygon edited="0">
                <wp:start x="0" y="0"/>
                <wp:lineTo x="0" y="21316"/>
                <wp:lineTo x="21519" y="21316"/>
                <wp:lineTo x="21519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66"/>
                    <a:stretch/>
                  </pic:blipFill>
                  <pic:spPr bwMode="auto">
                    <a:xfrm>
                      <a:off x="0" y="0"/>
                      <a:ext cx="5105400" cy="1833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B6E" w:rsidRDefault="00317B6E" w:rsidP="00DF5F51">
      <w:pPr>
        <w:rPr>
          <w:rFonts w:ascii="Calibri" w:hAnsi="Calibri"/>
          <w:noProof/>
          <w:szCs w:val="22"/>
        </w:rPr>
      </w:pPr>
    </w:p>
    <w:p w:rsidR="00A274FD" w:rsidRDefault="00A274FD" w:rsidP="00317B6E">
      <w:pPr>
        <w:jc w:val="both"/>
        <w:rPr>
          <w:rFonts w:ascii="Calibri" w:hAnsi="Calibri"/>
          <w:noProof/>
          <w:sz w:val="22"/>
          <w:szCs w:val="22"/>
        </w:rPr>
      </w:pPr>
    </w:p>
    <w:p w:rsidR="00A274FD" w:rsidRDefault="00A274FD" w:rsidP="00317B6E">
      <w:pPr>
        <w:jc w:val="both"/>
        <w:rPr>
          <w:rFonts w:ascii="Calibri" w:hAnsi="Calibri"/>
          <w:noProof/>
          <w:sz w:val="22"/>
          <w:szCs w:val="22"/>
        </w:rPr>
      </w:pPr>
    </w:p>
    <w:p w:rsidR="00A274FD" w:rsidRDefault="00A274FD" w:rsidP="00317B6E">
      <w:pPr>
        <w:jc w:val="both"/>
        <w:rPr>
          <w:rFonts w:ascii="Calibri" w:hAnsi="Calibri"/>
          <w:noProof/>
          <w:sz w:val="22"/>
          <w:szCs w:val="22"/>
        </w:rPr>
      </w:pPr>
    </w:p>
    <w:p w:rsidR="00A274FD" w:rsidRDefault="00A274FD" w:rsidP="00317B6E">
      <w:pPr>
        <w:jc w:val="both"/>
        <w:rPr>
          <w:rFonts w:ascii="Calibri" w:hAnsi="Calibri"/>
          <w:noProof/>
          <w:sz w:val="22"/>
          <w:szCs w:val="22"/>
        </w:rPr>
      </w:pPr>
    </w:p>
    <w:p w:rsidR="00A274FD" w:rsidRDefault="00A274FD" w:rsidP="00317B6E">
      <w:pPr>
        <w:jc w:val="both"/>
        <w:rPr>
          <w:rFonts w:ascii="Calibri" w:hAnsi="Calibri"/>
          <w:noProof/>
          <w:sz w:val="22"/>
          <w:szCs w:val="22"/>
        </w:rPr>
      </w:pPr>
    </w:p>
    <w:p w:rsidR="00A274FD" w:rsidRDefault="00A274FD" w:rsidP="00317B6E">
      <w:pPr>
        <w:jc w:val="both"/>
        <w:rPr>
          <w:rFonts w:ascii="Calibri" w:hAnsi="Calibri"/>
          <w:noProof/>
          <w:sz w:val="22"/>
          <w:szCs w:val="22"/>
        </w:rPr>
      </w:pPr>
    </w:p>
    <w:p w:rsidR="00A274FD" w:rsidRDefault="00A274FD" w:rsidP="00317B6E">
      <w:pPr>
        <w:jc w:val="both"/>
        <w:rPr>
          <w:rFonts w:ascii="Calibri" w:hAnsi="Calibri"/>
          <w:noProof/>
          <w:sz w:val="22"/>
          <w:szCs w:val="22"/>
        </w:rPr>
      </w:pPr>
    </w:p>
    <w:p w:rsidR="00A274FD" w:rsidRDefault="00A274FD" w:rsidP="00317B6E">
      <w:pPr>
        <w:jc w:val="both"/>
        <w:rPr>
          <w:rFonts w:ascii="Calibri" w:hAnsi="Calibri"/>
          <w:noProof/>
          <w:sz w:val="22"/>
          <w:szCs w:val="22"/>
        </w:rPr>
      </w:pPr>
    </w:p>
    <w:p w:rsidR="00A274FD" w:rsidRDefault="00A274FD" w:rsidP="00317B6E">
      <w:pPr>
        <w:jc w:val="both"/>
        <w:rPr>
          <w:rFonts w:ascii="Calibri" w:hAnsi="Calibri"/>
          <w:noProof/>
          <w:sz w:val="22"/>
          <w:szCs w:val="22"/>
        </w:rPr>
      </w:pPr>
    </w:p>
    <w:p w:rsidR="00A274FD" w:rsidRDefault="00A274FD" w:rsidP="00317B6E">
      <w:pPr>
        <w:jc w:val="both"/>
        <w:rPr>
          <w:rFonts w:ascii="Calibri" w:hAnsi="Calibri"/>
          <w:noProof/>
          <w:sz w:val="22"/>
          <w:szCs w:val="22"/>
        </w:rPr>
      </w:pPr>
    </w:p>
    <w:p w:rsidR="00317B6E" w:rsidRPr="0038330C" w:rsidRDefault="00317B6E" w:rsidP="00317B6E">
      <w:pPr>
        <w:jc w:val="both"/>
        <w:rPr>
          <w:rFonts w:asciiTheme="minorHAnsi" w:hAnsiTheme="minorHAnsi"/>
          <w:noProof/>
          <w:sz w:val="20"/>
          <w:szCs w:val="20"/>
        </w:rPr>
      </w:pPr>
      <w:r w:rsidRPr="0038330C">
        <w:rPr>
          <w:rFonts w:asciiTheme="minorHAnsi" w:hAnsiTheme="minorHAnsi"/>
          <w:noProof/>
          <w:sz w:val="20"/>
          <w:szCs w:val="20"/>
        </w:rPr>
        <w:t xml:space="preserve">Pełne </w:t>
      </w:r>
      <w:r w:rsidR="00D35A70" w:rsidRPr="0038330C">
        <w:rPr>
          <w:rFonts w:asciiTheme="minorHAnsi" w:hAnsiTheme="minorHAnsi"/>
          <w:noProof/>
          <w:sz w:val="20"/>
          <w:szCs w:val="20"/>
        </w:rPr>
        <w:t>wersje raportów rocznych (jednostkowy i skonsolidowany) wraz ze sprawozdaniami finansowymi</w:t>
      </w:r>
      <w:r w:rsidRPr="0038330C">
        <w:rPr>
          <w:rFonts w:asciiTheme="minorHAnsi" w:hAnsiTheme="minorHAnsi"/>
          <w:noProof/>
          <w:sz w:val="20"/>
          <w:szCs w:val="20"/>
        </w:rPr>
        <w:t xml:space="preserve"> </w:t>
      </w:r>
      <w:r w:rsidR="00D35A70" w:rsidRPr="0038330C">
        <w:rPr>
          <w:rFonts w:asciiTheme="minorHAnsi" w:hAnsiTheme="minorHAnsi"/>
          <w:noProof/>
          <w:sz w:val="20"/>
          <w:szCs w:val="20"/>
        </w:rPr>
        <w:t xml:space="preserve">znajdują się </w:t>
      </w:r>
      <w:r w:rsidRPr="0038330C">
        <w:rPr>
          <w:rFonts w:asciiTheme="minorHAnsi" w:hAnsiTheme="minorHAnsi"/>
          <w:noProof/>
          <w:sz w:val="20"/>
          <w:szCs w:val="20"/>
        </w:rPr>
        <w:t xml:space="preserve">na </w:t>
      </w:r>
      <w:hyperlink r:id="rId10" w:history="1">
        <w:r w:rsidRPr="0038330C">
          <w:rPr>
            <w:rStyle w:val="Hipercze"/>
            <w:rFonts w:asciiTheme="minorHAnsi" w:hAnsiTheme="minorHAnsi"/>
            <w:noProof/>
            <w:sz w:val="20"/>
            <w:szCs w:val="20"/>
          </w:rPr>
          <w:t>www.lug.com.pl</w:t>
        </w:r>
      </w:hyperlink>
    </w:p>
    <w:p w:rsidR="00317B6E" w:rsidRPr="0038330C" w:rsidRDefault="00317B6E" w:rsidP="00DF5F51">
      <w:pPr>
        <w:rPr>
          <w:rFonts w:asciiTheme="minorHAnsi" w:hAnsiTheme="minorHAnsi"/>
          <w:noProof/>
          <w:sz w:val="20"/>
          <w:szCs w:val="20"/>
        </w:rPr>
      </w:pPr>
    </w:p>
    <w:p w:rsidR="00247D11" w:rsidRPr="0038330C" w:rsidRDefault="00247D11" w:rsidP="00247D11">
      <w:pPr>
        <w:pStyle w:val="Text"/>
        <w:spacing w:after="0" w:line="240" w:lineRule="auto"/>
        <w:jc w:val="both"/>
        <w:rPr>
          <w:rFonts w:asciiTheme="minorHAnsi" w:hAnsiTheme="minorHAnsi" w:cs="Tahoma"/>
          <w:bCs/>
          <w:sz w:val="20"/>
          <w:szCs w:val="20"/>
        </w:rPr>
      </w:pPr>
      <w:r w:rsidRPr="0038330C">
        <w:rPr>
          <w:rFonts w:asciiTheme="minorHAnsi" w:hAnsiTheme="minorHAnsi" w:cs="Tahoma"/>
          <w:b/>
          <w:bCs/>
          <w:sz w:val="20"/>
          <w:szCs w:val="20"/>
        </w:rPr>
        <w:t xml:space="preserve">LUG S.A. </w:t>
      </w:r>
      <w:r w:rsidRPr="0038330C">
        <w:rPr>
          <w:rFonts w:asciiTheme="minorHAnsi" w:hAnsiTheme="minorHAnsi" w:cs="Tahoma"/>
          <w:bCs/>
          <w:sz w:val="20"/>
          <w:szCs w:val="20"/>
        </w:rPr>
        <w:t xml:space="preserve">to spółka holdingowa Grupy Kapitałowej LUG S.A. – jednego z czołowych europejskich producentów profesjonalnych rozwiązań oświetleniowych. Grupa sprzedaje swoje produkty w Polsce oraz w kilkudziesięciu krajach na całym świecie. Posiadająca 26 lat doświadczenia firma z siedzibą w Zielonej Górze, od 2008 roku funkcjonuje jako Grupa Kapitałowa. W jej skład wchodzą: LUG S.A., LUG </w:t>
      </w:r>
      <w:proofErr w:type="spellStart"/>
      <w:r w:rsidRPr="0038330C">
        <w:rPr>
          <w:rFonts w:asciiTheme="minorHAnsi" w:hAnsiTheme="minorHAnsi" w:cs="Tahoma"/>
          <w:bCs/>
          <w:sz w:val="20"/>
          <w:szCs w:val="20"/>
        </w:rPr>
        <w:t>Light</w:t>
      </w:r>
      <w:proofErr w:type="spellEnd"/>
      <w:r w:rsidRPr="0038330C">
        <w:rPr>
          <w:rFonts w:asciiTheme="minorHAnsi" w:hAnsiTheme="minorHAnsi" w:cs="Tahoma"/>
          <w:bCs/>
          <w:sz w:val="20"/>
          <w:szCs w:val="20"/>
        </w:rPr>
        <w:t xml:space="preserve"> </w:t>
      </w:r>
      <w:proofErr w:type="spellStart"/>
      <w:r w:rsidRPr="0038330C">
        <w:rPr>
          <w:rFonts w:asciiTheme="minorHAnsi" w:hAnsiTheme="minorHAnsi" w:cs="Tahoma"/>
          <w:bCs/>
          <w:sz w:val="20"/>
          <w:szCs w:val="20"/>
        </w:rPr>
        <w:t>Factory</w:t>
      </w:r>
      <w:proofErr w:type="spellEnd"/>
      <w:r w:rsidRPr="0038330C">
        <w:rPr>
          <w:rFonts w:asciiTheme="minorHAnsi" w:hAnsiTheme="minorHAnsi" w:cs="Tahoma"/>
          <w:bCs/>
          <w:sz w:val="20"/>
          <w:szCs w:val="20"/>
        </w:rPr>
        <w:t xml:space="preserve"> Sp. z o.o., LUG GmbH, LUG do </w:t>
      </w:r>
      <w:proofErr w:type="spellStart"/>
      <w:r w:rsidRPr="0038330C">
        <w:rPr>
          <w:rFonts w:asciiTheme="minorHAnsi" w:hAnsiTheme="minorHAnsi" w:cs="Tahoma"/>
          <w:bCs/>
          <w:sz w:val="20"/>
          <w:szCs w:val="20"/>
        </w:rPr>
        <w:t>Brazil</w:t>
      </w:r>
      <w:proofErr w:type="spellEnd"/>
      <w:r w:rsidRPr="0038330C">
        <w:rPr>
          <w:rFonts w:asciiTheme="minorHAnsi" w:hAnsiTheme="minorHAnsi" w:cs="Tahoma"/>
          <w:bCs/>
          <w:sz w:val="20"/>
          <w:szCs w:val="20"/>
        </w:rPr>
        <w:t xml:space="preserve"> </w:t>
      </w:r>
      <w:proofErr w:type="spellStart"/>
      <w:r w:rsidRPr="0038330C">
        <w:rPr>
          <w:rFonts w:asciiTheme="minorHAnsi" w:hAnsiTheme="minorHAnsi" w:cs="Tahoma"/>
          <w:bCs/>
          <w:sz w:val="20"/>
          <w:szCs w:val="20"/>
        </w:rPr>
        <w:t>Ltda</w:t>
      </w:r>
      <w:proofErr w:type="spellEnd"/>
      <w:r w:rsidRPr="0038330C">
        <w:rPr>
          <w:rFonts w:asciiTheme="minorHAnsi" w:hAnsiTheme="minorHAnsi" w:cs="Tahoma"/>
          <w:bCs/>
          <w:sz w:val="20"/>
          <w:szCs w:val="20"/>
        </w:rPr>
        <w:t xml:space="preserve">, LUG </w:t>
      </w:r>
      <w:proofErr w:type="spellStart"/>
      <w:r w:rsidRPr="0038330C">
        <w:rPr>
          <w:rFonts w:asciiTheme="minorHAnsi" w:hAnsiTheme="minorHAnsi" w:cs="Tahoma"/>
          <w:bCs/>
          <w:sz w:val="20"/>
          <w:szCs w:val="20"/>
        </w:rPr>
        <w:t>Lighting</w:t>
      </w:r>
      <w:proofErr w:type="spellEnd"/>
      <w:r w:rsidRPr="0038330C">
        <w:rPr>
          <w:rFonts w:asciiTheme="minorHAnsi" w:hAnsiTheme="minorHAnsi" w:cs="Tahoma"/>
          <w:bCs/>
          <w:sz w:val="20"/>
          <w:szCs w:val="20"/>
        </w:rPr>
        <w:t xml:space="preserve"> UK Ltd.  oraz TOW LUG Ukraina. LUG S.A. od listopada 2007 roku jest notowana na rynku </w:t>
      </w:r>
      <w:proofErr w:type="spellStart"/>
      <w:r w:rsidRPr="0038330C">
        <w:rPr>
          <w:rFonts w:asciiTheme="minorHAnsi" w:hAnsiTheme="minorHAnsi" w:cs="Tahoma"/>
          <w:bCs/>
          <w:sz w:val="20"/>
          <w:szCs w:val="20"/>
        </w:rPr>
        <w:t>NewConnect</w:t>
      </w:r>
      <w:proofErr w:type="spellEnd"/>
      <w:r w:rsidRPr="0038330C">
        <w:rPr>
          <w:rFonts w:asciiTheme="minorHAnsi" w:hAnsiTheme="minorHAnsi" w:cs="Tahoma"/>
          <w:bCs/>
          <w:sz w:val="20"/>
          <w:szCs w:val="20"/>
        </w:rPr>
        <w:t xml:space="preserve"> zarządzanym przez warszawską GPW. Więcej informacji: </w:t>
      </w:r>
      <w:hyperlink r:id="rId11" w:history="1">
        <w:r w:rsidRPr="0038330C">
          <w:rPr>
            <w:rStyle w:val="Hipercze"/>
            <w:rFonts w:asciiTheme="minorHAnsi" w:hAnsiTheme="minorHAnsi" w:cs="Tahoma"/>
            <w:bCs/>
            <w:sz w:val="20"/>
            <w:szCs w:val="20"/>
          </w:rPr>
          <w:t>www.lug.com.pl</w:t>
        </w:r>
      </w:hyperlink>
    </w:p>
    <w:p w:rsidR="00247D11" w:rsidRDefault="00247D11" w:rsidP="00DF5F51">
      <w:pPr>
        <w:rPr>
          <w:rFonts w:ascii="Calibri" w:hAnsi="Calibri"/>
          <w:noProof/>
          <w:szCs w:val="22"/>
        </w:rPr>
      </w:pPr>
    </w:p>
    <w:p w:rsidR="00247D11" w:rsidRPr="0038330C" w:rsidRDefault="00317B6E" w:rsidP="00DF5F51">
      <w:pPr>
        <w:rPr>
          <w:rFonts w:asciiTheme="minorHAnsi" w:hAnsiTheme="minorHAnsi"/>
          <w:b/>
          <w:sz w:val="20"/>
          <w:szCs w:val="20"/>
        </w:rPr>
      </w:pPr>
      <w:r w:rsidRPr="0038330C">
        <w:rPr>
          <w:rFonts w:asciiTheme="minorHAnsi" w:hAnsiTheme="minorHAnsi"/>
          <w:b/>
          <w:sz w:val="20"/>
          <w:szCs w:val="20"/>
        </w:rPr>
        <w:t>Kontakt dla mediów i inwestorów:</w:t>
      </w:r>
    </w:p>
    <w:p w:rsidR="00317B6E" w:rsidRPr="0038330C" w:rsidRDefault="00317B6E" w:rsidP="00DF5F51">
      <w:pPr>
        <w:rPr>
          <w:rFonts w:asciiTheme="minorHAnsi" w:hAnsiTheme="minorHAnsi"/>
          <w:sz w:val="20"/>
          <w:szCs w:val="20"/>
        </w:rPr>
      </w:pPr>
    </w:p>
    <w:p w:rsidR="00317B6E" w:rsidRPr="0038330C" w:rsidRDefault="00317B6E" w:rsidP="00DF5F51">
      <w:pPr>
        <w:rPr>
          <w:rFonts w:asciiTheme="minorHAnsi" w:hAnsiTheme="minorHAnsi"/>
          <w:b/>
          <w:sz w:val="20"/>
          <w:szCs w:val="20"/>
        </w:rPr>
      </w:pPr>
      <w:r w:rsidRPr="0038330C">
        <w:rPr>
          <w:rFonts w:asciiTheme="minorHAnsi" w:hAnsiTheme="minorHAnsi"/>
          <w:b/>
          <w:sz w:val="20"/>
          <w:szCs w:val="20"/>
        </w:rPr>
        <w:t>Monika Bartoszak</w:t>
      </w:r>
    </w:p>
    <w:p w:rsidR="00317B6E" w:rsidRPr="0038330C" w:rsidRDefault="00317B6E" w:rsidP="00DF5F51">
      <w:pPr>
        <w:rPr>
          <w:rFonts w:asciiTheme="minorHAnsi" w:hAnsiTheme="minorHAnsi"/>
          <w:sz w:val="20"/>
          <w:szCs w:val="20"/>
        </w:rPr>
      </w:pPr>
      <w:r w:rsidRPr="0038330C">
        <w:rPr>
          <w:rFonts w:asciiTheme="minorHAnsi" w:hAnsiTheme="minorHAnsi"/>
          <w:sz w:val="20"/>
          <w:szCs w:val="20"/>
        </w:rPr>
        <w:t>+48 510 183 993</w:t>
      </w:r>
    </w:p>
    <w:p w:rsidR="00317B6E" w:rsidRPr="0038330C" w:rsidRDefault="007009F6" w:rsidP="00317B6E">
      <w:pPr>
        <w:rPr>
          <w:rFonts w:asciiTheme="minorHAnsi" w:hAnsiTheme="minorHAnsi"/>
          <w:sz w:val="20"/>
          <w:szCs w:val="20"/>
        </w:rPr>
      </w:pPr>
      <w:hyperlink r:id="rId12" w:history="1">
        <w:r w:rsidR="00317B6E" w:rsidRPr="0038330C">
          <w:rPr>
            <w:rStyle w:val="Hipercze"/>
            <w:rFonts w:asciiTheme="minorHAnsi" w:hAnsiTheme="minorHAnsi"/>
            <w:sz w:val="20"/>
            <w:szCs w:val="20"/>
          </w:rPr>
          <w:t>monika.bartoszak@lug.com.pl</w:t>
        </w:r>
      </w:hyperlink>
    </w:p>
    <w:p w:rsidR="00803F08" w:rsidRPr="0038330C" w:rsidRDefault="007009F6" w:rsidP="00DF5F51">
      <w:pPr>
        <w:rPr>
          <w:rFonts w:asciiTheme="minorHAnsi" w:hAnsiTheme="minorHAnsi"/>
          <w:sz w:val="20"/>
          <w:szCs w:val="20"/>
        </w:rPr>
      </w:pPr>
      <w:hyperlink r:id="rId13" w:history="1">
        <w:r w:rsidR="00317B6E" w:rsidRPr="0038330C">
          <w:rPr>
            <w:rStyle w:val="Hipercze"/>
            <w:rFonts w:asciiTheme="minorHAnsi" w:hAnsiTheme="minorHAnsi"/>
            <w:sz w:val="20"/>
            <w:szCs w:val="20"/>
          </w:rPr>
          <w:t>relacje@lug.com.pl</w:t>
        </w:r>
      </w:hyperlink>
    </w:p>
    <w:sectPr w:rsidR="00803F08" w:rsidRPr="0038330C" w:rsidSect="0012404D">
      <w:headerReference w:type="default" r:id="rId14"/>
      <w:footerReference w:type="default" r:id="rId15"/>
      <w:pgSz w:w="11906" w:h="16838" w:code="9"/>
      <w:pgMar w:top="1418" w:right="1304" w:bottom="1418" w:left="1304" w:header="107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9F6" w:rsidRDefault="007009F6">
      <w:r>
        <w:separator/>
      </w:r>
    </w:p>
  </w:endnote>
  <w:endnote w:type="continuationSeparator" w:id="0">
    <w:p w:rsidR="007009F6" w:rsidRDefault="00700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l">
    <w:altName w:val="Courier New"/>
    <w:charset w:val="EE"/>
    <w:family w:val="auto"/>
    <w:pitch w:val="variable"/>
    <w:sig w:usb0="00000001" w:usb1="0000004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8B1" w:rsidRPr="001000FF" w:rsidRDefault="00CF47ED">
    <w:pPr>
      <w:pStyle w:val="Stopka"/>
    </w:pPr>
    <w:r>
      <w:rPr>
        <w:noProof/>
      </w:rPr>
      <w:drawing>
        <wp:inline distT="0" distB="0" distL="0" distR="0">
          <wp:extent cx="5924550" cy="581025"/>
          <wp:effectExtent l="0" t="0" r="0" b="9525"/>
          <wp:docPr id="2" name="Obraz 2" descr="Kopia_zapasowa_LUG papier firmowy_light fact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pia_zapasowa_LUG papier firmowy_light facto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9F6" w:rsidRDefault="007009F6">
      <w:r>
        <w:separator/>
      </w:r>
    </w:p>
  </w:footnote>
  <w:footnote w:type="continuationSeparator" w:id="0">
    <w:p w:rsidR="007009F6" w:rsidRDefault="00700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281" w:rsidRPr="00A83E2A" w:rsidRDefault="00CF47ED">
    <w:pPr>
      <w:pStyle w:val="Nagwek"/>
    </w:pPr>
    <w:r>
      <w:rPr>
        <w:noProof/>
      </w:rPr>
      <w:drawing>
        <wp:inline distT="0" distB="0" distL="0" distR="0">
          <wp:extent cx="5943600" cy="552450"/>
          <wp:effectExtent l="0" t="0" r="0" b="0"/>
          <wp:docPr id="1" name="Obraz 1" descr="nagłówek_lug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_lug 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3E2A">
      <w:t xml:space="preserve"> </w:t>
    </w:r>
    <w:r w:rsidR="005B1722">
      <w:t xml:space="preserve">        </w:t>
    </w:r>
  </w:p>
  <w:p w:rsidR="00B30281" w:rsidRPr="007858B1" w:rsidRDefault="00B30281">
    <w:pPr>
      <w:pStyle w:val="Nagwek"/>
      <w:rPr>
        <w:rFonts w:ascii="DINPl" w:hAnsi="DINPl"/>
      </w:rPr>
    </w:pPr>
    <w:r>
      <w:t xml:space="preserve">   </w:t>
    </w:r>
    <w:r w:rsidR="007858B1"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573BC"/>
    <w:multiLevelType w:val="hybridMultilevel"/>
    <w:tmpl w:val="A7D63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F643A"/>
    <w:multiLevelType w:val="hybridMultilevel"/>
    <w:tmpl w:val="A68CC01A"/>
    <w:lvl w:ilvl="0" w:tplc="7692203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20085D42">
      <w:start w:val="1"/>
      <w:numFmt w:val="lowerLetter"/>
      <w:lvlText w:val="%2."/>
      <w:lvlJc w:val="left"/>
      <w:pPr>
        <w:ind w:left="249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4A8750BC"/>
    <w:multiLevelType w:val="hybridMultilevel"/>
    <w:tmpl w:val="288E4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5202E"/>
    <w:multiLevelType w:val="hybridMultilevel"/>
    <w:tmpl w:val="F886E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57DD9"/>
    <w:multiLevelType w:val="hybridMultilevel"/>
    <w:tmpl w:val="6588AF42"/>
    <w:lvl w:ilvl="0" w:tplc="DB76EDB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B46707"/>
    <w:multiLevelType w:val="hybridMultilevel"/>
    <w:tmpl w:val="BD341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t5JkFnEfRuBRUbwIqciZMmwQ3Xk=" w:salt="J7RAW76uOst9b3eTaQxRKA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8E"/>
    <w:rsid w:val="00005541"/>
    <w:rsid w:val="00006765"/>
    <w:rsid w:val="00026392"/>
    <w:rsid w:val="00055E7D"/>
    <w:rsid w:val="000642FA"/>
    <w:rsid w:val="00070395"/>
    <w:rsid w:val="000821FE"/>
    <w:rsid w:val="000C341D"/>
    <w:rsid w:val="000F0201"/>
    <w:rsid w:val="001000FF"/>
    <w:rsid w:val="00122D1E"/>
    <w:rsid w:val="0012404D"/>
    <w:rsid w:val="00124B17"/>
    <w:rsid w:val="001B34CA"/>
    <w:rsid w:val="001D0402"/>
    <w:rsid w:val="0021240B"/>
    <w:rsid w:val="00220A66"/>
    <w:rsid w:val="00245355"/>
    <w:rsid w:val="00247D11"/>
    <w:rsid w:val="002515FF"/>
    <w:rsid w:val="00262876"/>
    <w:rsid w:val="00284FD0"/>
    <w:rsid w:val="002942A2"/>
    <w:rsid w:val="002A7D41"/>
    <w:rsid w:val="002B0413"/>
    <w:rsid w:val="002F1F4B"/>
    <w:rsid w:val="00317B6E"/>
    <w:rsid w:val="00334FB5"/>
    <w:rsid w:val="00346F57"/>
    <w:rsid w:val="003517A2"/>
    <w:rsid w:val="00363E52"/>
    <w:rsid w:val="003652F4"/>
    <w:rsid w:val="00380E61"/>
    <w:rsid w:val="0038330C"/>
    <w:rsid w:val="003B030B"/>
    <w:rsid w:val="003E4A26"/>
    <w:rsid w:val="003F23F4"/>
    <w:rsid w:val="004414C7"/>
    <w:rsid w:val="00454A31"/>
    <w:rsid w:val="004C6C4C"/>
    <w:rsid w:val="00531831"/>
    <w:rsid w:val="005766D8"/>
    <w:rsid w:val="00596088"/>
    <w:rsid w:val="005B1722"/>
    <w:rsid w:val="005F766A"/>
    <w:rsid w:val="005F792F"/>
    <w:rsid w:val="006217BE"/>
    <w:rsid w:val="00655997"/>
    <w:rsid w:val="006945E8"/>
    <w:rsid w:val="006A44D3"/>
    <w:rsid w:val="006C20C0"/>
    <w:rsid w:val="006D4AE3"/>
    <w:rsid w:val="007009F6"/>
    <w:rsid w:val="00711192"/>
    <w:rsid w:val="00763BF0"/>
    <w:rsid w:val="00770619"/>
    <w:rsid w:val="007858B1"/>
    <w:rsid w:val="007B2AD5"/>
    <w:rsid w:val="007C4322"/>
    <w:rsid w:val="007D2789"/>
    <w:rsid w:val="007F64A8"/>
    <w:rsid w:val="00803F08"/>
    <w:rsid w:val="00804521"/>
    <w:rsid w:val="00830F20"/>
    <w:rsid w:val="00857013"/>
    <w:rsid w:val="008A2022"/>
    <w:rsid w:val="008B35AA"/>
    <w:rsid w:val="00935224"/>
    <w:rsid w:val="00962956"/>
    <w:rsid w:val="009925F8"/>
    <w:rsid w:val="00A00411"/>
    <w:rsid w:val="00A060DB"/>
    <w:rsid w:val="00A274FD"/>
    <w:rsid w:val="00A83E2A"/>
    <w:rsid w:val="00A955BD"/>
    <w:rsid w:val="00AD031A"/>
    <w:rsid w:val="00AD3614"/>
    <w:rsid w:val="00AE457F"/>
    <w:rsid w:val="00B04E7C"/>
    <w:rsid w:val="00B15E8C"/>
    <w:rsid w:val="00B20D15"/>
    <w:rsid w:val="00B30281"/>
    <w:rsid w:val="00B77EA1"/>
    <w:rsid w:val="00BE580E"/>
    <w:rsid w:val="00C02204"/>
    <w:rsid w:val="00C44584"/>
    <w:rsid w:val="00C55A35"/>
    <w:rsid w:val="00CA1313"/>
    <w:rsid w:val="00CD36E9"/>
    <w:rsid w:val="00CE3245"/>
    <w:rsid w:val="00CF47ED"/>
    <w:rsid w:val="00D2390D"/>
    <w:rsid w:val="00D34946"/>
    <w:rsid w:val="00D35A70"/>
    <w:rsid w:val="00D444D8"/>
    <w:rsid w:val="00D47BF0"/>
    <w:rsid w:val="00D567A2"/>
    <w:rsid w:val="00D5748E"/>
    <w:rsid w:val="00D72FA5"/>
    <w:rsid w:val="00DF5F51"/>
    <w:rsid w:val="00E2706C"/>
    <w:rsid w:val="00E61E46"/>
    <w:rsid w:val="00E93A15"/>
    <w:rsid w:val="00E95E8B"/>
    <w:rsid w:val="00EE36C2"/>
    <w:rsid w:val="00F1031D"/>
    <w:rsid w:val="00FD3C5C"/>
    <w:rsid w:val="00FD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02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302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281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E93A15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E32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E3245"/>
    <w:pPr>
      <w:spacing w:before="100" w:beforeAutospacing="1" w:after="100" w:afterAutospacing="1"/>
    </w:pPr>
  </w:style>
  <w:style w:type="character" w:customStyle="1" w:styleId="dane">
    <w:name w:val="dane"/>
    <w:basedOn w:val="Domylnaczcionkaakapitu"/>
    <w:rsid w:val="00CE324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2F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2FA5"/>
  </w:style>
  <w:style w:type="character" w:styleId="Odwoanieprzypisukocowego">
    <w:name w:val="endnote reference"/>
    <w:basedOn w:val="Domylnaczcionkaakapitu"/>
    <w:uiPriority w:val="99"/>
    <w:semiHidden/>
    <w:unhideWhenUsed/>
    <w:rsid w:val="00D72FA5"/>
    <w:rPr>
      <w:vertAlign w:val="superscript"/>
    </w:rPr>
  </w:style>
  <w:style w:type="character" w:styleId="Pogrubienie">
    <w:name w:val="Strong"/>
    <w:uiPriority w:val="22"/>
    <w:qFormat/>
    <w:rsid w:val="0021240B"/>
    <w:rPr>
      <w:b/>
      <w:bCs/>
    </w:rPr>
  </w:style>
  <w:style w:type="character" w:customStyle="1" w:styleId="Nagwek1Znak">
    <w:name w:val="Nagłówek 1 Znak"/>
    <w:link w:val="Nagwek1"/>
    <w:rsid w:val="00D2390D"/>
    <w:rPr>
      <w:rFonts w:ascii="Arial" w:hAnsi="Arial" w:cs="Arial"/>
      <w:b/>
      <w:bCs/>
      <w:kern w:val="32"/>
      <w:sz w:val="32"/>
      <w:szCs w:val="32"/>
    </w:rPr>
  </w:style>
  <w:style w:type="character" w:customStyle="1" w:styleId="TextChar">
    <w:name w:val="Text Char"/>
    <w:link w:val="Text"/>
    <w:locked/>
    <w:rsid w:val="00D2390D"/>
    <w:rPr>
      <w:rFonts w:ascii="Century Gothic" w:hAnsi="Century Gothic"/>
      <w:sz w:val="18"/>
      <w:szCs w:val="18"/>
      <w:lang w:bidi="pl-PL"/>
    </w:rPr>
  </w:style>
  <w:style w:type="paragraph" w:customStyle="1" w:styleId="Text">
    <w:name w:val="Text"/>
    <w:basedOn w:val="Normalny"/>
    <w:link w:val="TextChar"/>
    <w:rsid w:val="00D2390D"/>
    <w:pPr>
      <w:spacing w:after="220" w:line="336" w:lineRule="auto"/>
    </w:pPr>
    <w:rPr>
      <w:rFonts w:ascii="Century Gothic" w:hAnsi="Century Gothic"/>
      <w:sz w:val="18"/>
      <w:szCs w:val="18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4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41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3494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F23F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3F23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02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302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281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E93A15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E32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E3245"/>
    <w:pPr>
      <w:spacing w:before="100" w:beforeAutospacing="1" w:after="100" w:afterAutospacing="1"/>
    </w:pPr>
  </w:style>
  <w:style w:type="character" w:customStyle="1" w:styleId="dane">
    <w:name w:val="dane"/>
    <w:basedOn w:val="Domylnaczcionkaakapitu"/>
    <w:rsid w:val="00CE324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2F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2FA5"/>
  </w:style>
  <w:style w:type="character" w:styleId="Odwoanieprzypisukocowego">
    <w:name w:val="endnote reference"/>
    <w:basedOn w:val="Domylnaczcionkaakapitu"/>
    <w:uiPriority w:val="99"/>
    <w:semiHidden/>
    <w:unhideWhenUsed/>
    <w:rsid w:val="00D72FA5"/>
    <w:rPr>
      <w:vertAlign w:val="superscript"/>
    </w:rPr>
  </w:style>
  <w:style w:type="character" w:styleId="Pogrubienie">
    <w:name w:val="Strong"/>
    <w:uiPriority w:val="22"/>
    <w:qFormat/>
    <w:rsid w:val="0021240B"/>
    <w:rPr>
      <w:b/>
      <w:bCs/>
    </w:rPr>
  </w:style>
  <w:style w:type="character" w:customStyle="1" w:styleId="Nagwek1Znak">
    <w:name w:val="Nagłówek 1 Znak"/>
    <w:link w:val="Nagwek1"/>
    <w:rsid w:val="00D2390D"/>
    <w:rPr>
      <w:rFonts w:ascii="Arial" w:hAnsi="Arial" w:cs="Arial"/>
      <w:b/>
      <w:bCs/>
      <w:kern w:val="32"/>
      <w:sz w:val="32"/>
      <w:szCs w:val="32"/>
    </w:rPr>
  </w:style>
  <w:style w:type="character" w:customStyle="1" w:styleId="TextChar">
    <w:name w:val="Text Char"/>
    <w:link w:val="Text"/>
    <w:locked/>
    <w:rsid w:val="00D2390D"/>
    <w:rPr>
      <w:rFonts w:ascii="Century Gothic" w:hAnsi="Century Gothic"/>
      <w:sz w:val="18"/>
      <w:szCs w:val="18"/>
      <w:lang w:bidi="pl-PL"/>
    </w:rPr>
  </w:style>
  <w:style w:type="paragraph" w:customStyle="1" w:styleId="Text">
    <w:name w:val="Text"/>
    <w:basedOn w:val="Normalny"/>
    <w:link w:val="TextChar"/>
    <w:rsid w:val="00D2390D"/>
    <w:pPr>
      <w:spacing w:after="220" w:line="336" w:lineRule="auto"/>
    </w:pPr>
    <w:rPr>
      <w:rFonts w:ascii="Century Gothic" w:hAnsi="Century Gothic"/>
      <w:sz w:val="18"/>
      <w:szCs w:val="18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4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41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3494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F23F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3F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elacje@lug.com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onika.bartoszak@lug.com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ug.com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lug.com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ED25F-15D8-41B2-B03C-9C473F2A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639</Words>
  <Characters>3840</Characters>
  <Application>Microsoft Office Word</Application>
  <DocSecurity>8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lug</Company>
  <LinksUpToDate>false</LinksUpToDate>
  <CharactersWithSpaces>4471</CharactersWithSpaces>
  <SharedDoc>false</SharedDoc>
  <HLinks>
    <vt:vector size="6" baseType="variant">
      <vt:variant>
        <vt:i4>7405606</vt:i4>
      </vt:variant>
      <vt:variant>
        <vt:i4>0</vt:i4>
      </vt:variant>
      <vt:variant>
        <vt:i4>0</vt:i4>
      </vt:variant>
      <vt:variant>
        <vt:i4>5</vt:i4>
      </vt:variant>
      <vt:variant>
        <vt:lpwstr>http://www.lug.com.pl/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Bartoszak</dc:creator>
  <cp:lastModifiedBy>Monika</cp:lastModifiedBy>
  <cp:revision>12</cp:revision>
  <cp:lastPrinted>2011-05-19T12:24:00Z</cp:lastPrinted>
  <dcterms:created xsi:type="dcterms:W3CDTF">2016-01-29T10:54:00Z</dcterms:created>
  <dcterms:modified xsi:type="dcterms:W3CDTF">2016-05-06T06:17:00Z</dcterms:modified>
</cp:coreProperties>
</file>